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386A416E" w:rsidR="009D60D5" w:rsidRPr="001B5605" w:rsidRDefault="00E36056"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Content>
                <w:r w:rsidR="00F52FB0">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77777777" w:rsidR="00C2145A" w:rsidRPr="001B5605" w:rsidRDefault="00C2145A" w:rsidP="00357B46">
            <w:pPr>
              <w:rPr>
                <w:rFonts w:asciiTheme="minorHAnsi" w:hAnsiTheme="minorHAnsi"/>
                <w:b/>
                <w:sz w:val="24"/>
              </w:rPr>
            </w:pPr>
            <w:r w:rsidRPr="001B5605">
              <w:rPr>
                <w:rFonts w:asciiTheme="minorHAnsi" w:hAnsiTheme="minorHAnsi"/>
                <w:b/>
                <w:smallCaps/>
                <w:sz w:val="24"/>
                <w:highlight w:val="yellow"/>
              </w:rPr>
              <w:t>Numéro</w:t>
            </w:r>
            <w:r w:rsidR="009433E7" w:rsidRPr="001B5605">
              <w:rPr>
                <w:rFonts w:asciiTheme="minorHAnsi" w:hAnsiTheme="minorHAnsi"/>
                <w:b/>
                <w:smallCaps/>
                <w:sz w:val="24"/>
              </w:rPr>
              <w:t xml:space="preserve"> </w:t>
            </w:r>
            <w:r w:rsidRPr="001B5605">
              <w:rPr>
                <w:rFonts w:asciiTheme="minorHAnsi" w:hAnsiTheme="minorHAnsi"/>
                <w:b/>
                <w:smallCaps/>
                <w:sz w:val="24"/>
              </w:rPr>
              <w:t xml:space="preserve">: </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6BE983C9" w:rsidR="00741D2D" w:rsidRPr="001B5605" w:rsidRDefault="00F52FB0" w:rsidP="00996FEA">
            <w:pPr>
              <w:rPr>
                <w:rFonts w:asciiTheme="minorHAnsi" w:hAnsiTheme="minorHAnsi" w:cs="Arial"/>
                <w:sz w:val="24"/>
              </w:rPr>
            </w:pPr>
            <w:r w:rsidRPr="00F52FB0">
              <w:rPr>
                <w:rFonts w:asciiTheme="minorHAnsi" w:hAnsiTheme="minorHAnsi" w:cs="Arial"/>
                <w:i/>
                <w:sz w:val="24"/>
              </w:rPr>
              <w:t>Appui au renforcement des ressources humaines des partenaires institutionnels de l’ADD</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77777777" w:rsidR="00741D2D" w:rsidRPr="001B5605" w:rsidRDefault="00540DA7" w:rsidP="00540DA7">
            <w:pPr>
              <w:rPr>
                <w:rFonts w:asciiTheme="minorHAnsi" w:hAnsiTheme="minorHAnsi"/>
                <w:b/>
                <w:caps/>
                <w:smallCaps/>
                <w:sz w:val="24"/>
              </w:rPr>
            </w:pPr>
            <w:bookmarkStart w:id="2" w:name="_Toc392669628"/>
            <w:r w:rsidRPr="001B5605">
              <w:rPr>
                <w:rFonts w:asciiTheme="minorHAnsi" w:hAnsiTheme="minorHAnsi"/>
                <w:b/>
                <w:smallCaps/>
                <w:sz w:val="24"/>
              </w:rPr>
              <w:t>MONTANT MAXIMAL DU CONTRAT :</w:t>
            </w:r>
            <w:bookmarkEnd w:id="2"/>
          </w:p>
          <w:p w14:paraId="7E809CC5" w14:textId="51C07ACF" w:rsidR="00741D2D" w:rsidRPr="001B5605" w:rsidRDefault="00741D2D" w:rsidP="00E953FE">
            <w:pPr>
              <w:rPr>
                <w:rFonts w:asciiTheme="minorHAnsi" w:hAnsiTheme="minorHAnsi" w:cs="Arial"/>
                <w:sz w:val="24"/>
              </w:rPr>
            </w:pP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42614EF7" w14:textId="15ADE351" w:rsidR="00707B69" w:rsidRPr="003A13E0" w:rsidRDefault="00E343A3" w:rsidP="00F52FB0">
            <w:pPr>
              <w:tabs>
                <w:tab w:val="left" w:pos="510"/>
                <w:tab w:val="left" w:pos="10977"/>
              </w:tabs>
              <w:spacing w:before="120"/>
              <w:ind w:right="83"/>
              <w:jc w:val="both"/>
              <w:rPr>
                <w:rFonts w:asciiTheme="minorHAnsi" w:hAnsiTheme="minorHAnsi" w:cs="Arial"/>
                <w:sz w:val="22"/>
                <w:szCs w:val="22"/>
              </w:rPr>
            </w:pPr>
            <w:r w:rsidRPr="00E343A3">
              <w:rPr>
                <w:rFonts w:asciiTheme="minorHAnsi" w:hAnsiTheme="minorHAnsi" w:cstheme="minorHAnsi"/>
                <w:sz w:val="22"/>
                <w:szCs w:val="22"/>
              </w:rPr>
              <w:t>Il est passé par la procédure adaptée en application des articles L. 2123-1 et R. 2123-1 au R. 2123-7 du CCP</w:t>
            </w:r>
            <w:r w:rsidRPr="00E343A3" w:rsidDel="00B43D45">
              <w:rPr>
                <w:rFonts w:asciiTheme="minorHAnsi" w:hAnsiTheme="minorHAnsi" w:cstheme="minorHAnsi"/>
                <w:sz w:val="22"/>
                <w:szCs w:val="22"/>
              </w:rPr>
              <w:t xml:space="preserve"> </w:t>
            </w:r>
            <w:r w:rsidRPr="00E343A3">
              <w:rPr>
                <w:rFonts w:asciiTheme="minorHAnsi" w:hAnsiTheme="minorHAnsi" w:cstheme="minorHAnsi"/>
                <w:sz w:val="22"/>
                <w:szCs w:val="22"/>
              </w:rPr>
              <w:t>.</w:t>
            </w:r>
            <w:r w:rsidR="00F52FB0" w:rsidRPr="006A10E4" w:rsidDel="00F52FB0">
              <w:rPr>
                <w:rFonts w:asciiTheme="minorHAnsi" w:hAnsiTheme="minorHAnsi" w:cstheme="minorHAnsi"/>
                <w:sz w:val="22"/>
                <w:szCs w:val="22"/>
              </w:rPr>
              <w:t xml:space="preserve"> </w:t>
            </w: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4480A5FD" w14:textId="77777777" w:rsidR="000A764F"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26921968" w:history="1">
            <w:r w:rsidR="000A764F" w:rsidRPr="00EF1E1E">
              <w:rPr>
                <w:rStyle w:val="Lienhypertexte"/>
                <w:b/>
                <w:caps/>
                <w:noProof/>
              </w:rPr>
              <w:t>conditions PARTICULIERES – acte d’engagement</w:t>
            </w:r>
            <w:r w:rsidR="000A764F">
              <w:rPr>
                <w:noProof/>
                <w:webHidden/>
              </w:rPr>
              <w:tab/>
            </w:r>
            <w:r w:rsidR="000A764F">
              <w:rPr>
                <w:noProof/>
                <w:webHidden/>
              </w:rPr>
              <w:fldChar w:fldCharType="begin"/>
            </w:r>
            <w:r w:rsidR="000A764F">
              <w:rPr>
                <w:noProof/>
                <w:webHidden/>
              </w:rPr>
              <w:instrText xml:space="preserve"> PAGEREF _Toc126921968 \h </w:instrText>
            </w:r>
            <w:r w:rsidR="000A764F">
              <w:rPr>
                <w:noProof/>
                <w:webHidden/>
              </w:rPr>
            </w:r>
            <w:r w:rsidR="000A764F">
              <w:rPr>
                <w:noProof/>
                <w:webHidden/>
              </w:rPr>
              <w:fldChar w:fldCharType="separate"/>
            </w:r>
            <w:r w:rsidR="000A764F">
              <w:rPr>
                <w:noProof/>
                <w:webHidden/>
              </w:rPr>
              <w:t>4</w:t>
            </w:r>
            <w:r w:rsidR="000A764F">
              <w:rPr>
                <w:noProof/>
                <w:webHidden/>
              </w:rPr>
              <w:fldChar w:fldCharType="end"/>
            </w:r>
          </w:hyperlink>
        </w:p>
        <w:p w14:paraId="166CC157" w14:textId="77777777" w:rsidR="000A764F" w:rsidRDefault="00E36056">
          <w:pPr>
            <w:pStyle w:val="TM1"/>
            <w:tabs>
              <w:tab w:val="left" w:pos="1540"/>
              <w:tab w:val="right" w:leader="dot" w:pos="9736"/>
            </w:tabs>
            <w:rPr>
              <w:rFonts w:asciiTheme="minorHAnsi" w:eastAsiaTheme="minorEastAsia" w:hAnsiTheme="minorHAnsi" w:cstheme="minorBidi"/>
              <w:noProof/>
              <w:sz w:val="22"/>
              <w:szCs w:val="22"/>
            </w:rPr>
          </w:pPr>
          <w:hyperlink w:anchor="_Toc126921969" w:history="1">
            <w:r w:rsidR="000A764F" w:rsidRPr="00EF1E1E">
              <w:rPr>
                <w:rStyle w:val="Lienhypertexte"/>
                <w:b/>
                <w:caps/>
                <w:noProof/>
              </w:rPr>
              <w:t>ARTICLE 1 :</w:t>
            </w:r>
            <w:r w:rsidR="000A764F">
              <w:rPr>
                <w:rFonts w:asciiTheme="minorHAnsi" w:eastAsiaTheme="minorEastAsia" w:hAnsiTheme="minorHAnsi" w:cstheme="minorBidi"/>
                <w:noProof/>
                <w:sz w:val="22"/>
                <w:szCs w:val="22"/>
              </w:rPr>
              <w:tab/>
            </w:r>
            <w:r w:rsidR="000A764F" w:rsidRPr="00EF1E1E">
              <w:rPr>
                <w:rStyle w:val="Lienhypertexte"/>
                <w:b/>
                <w:caps/>
                <w:noProof/>
              </w:rPr>
              <w:t>Objet du contrat</w:t>
            </w:r>
            <w:r w:rsidR="000A764F">
              <w:rPr>
                <w:noProof/>
                <w:webHidden/>
              </w:rPr>
              <w:tab/>
            </w:r>
            <w:r w:rsidR="000A764F">
              <w:rPr>
                <w:noProof/>
                <w:webHidden/>
              </w:rPr>
              <w:fldChar w:fldCharType="begin"/>
            </w:r>
            <w:r w:rsidR="000A764F">
              <w:rPr>
                <w:noProof/>
                <w:webHidden/>
              </w:rPr>
              <w:instrText xml:space="preserve"> PAGEREF _Toc126921969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6541E5B1" w14:textId="77777777" w:rsidR="000A764F" w:rsidRDefault="00E36056">
          <w:pPr>
            <w:pStyle w:val="TM1"/>
            <w:tabs>
              <w:tab w:val="left" w:pos="1540"/>
              <w:tab w:val="right" w:leader="dot" w:pos="9736"/>
            </w:tabs>
            <w:rPr>
              <w:rFonts w:asciiTheme="minorHAnsi" w:eastAsiaTheme="minorEastAsia" w:hAnsiTheme="minorHAnsi" w:cstheme="minorBidi"/>
              <w:noProof/>
              <w:sz w:val="22"/>
              <w:szCs w:val="22"/>
            </w:rPr>
          </w:pPr>
          <w:hyperlink w:anchor="_Toc126921970" w:history="1">
            <w:r w:rsidR="000A764F" w:rsidRPr="00EF1E1E">
              <w:rPr>
                <w:rStyle w:val="Lienhypertexte"/>
                <w:b/>
                <w:caps/>
                <w:noProof/>
              </w:rPr>
              <w:t>ARTICLE 2 :</w:t>
            </w:r>
            <w:r w:rsidR="000A764F">
              <w:rPr>
                <w:rFonts w:asciiTheme="minorHAnsi" w:eastAsiaTheme="minorEastAsia" w:hAnsiTheme="minorHAnsi" w:cstheme="minorBidi"/>
                <w:noProof/>
                <w:sz w:val="22"/>
                <w:szCs w:val="22"/>
              </w:rPr>
              <w:tab/>
            </w:r>
            <w:r w:rsidR="000A764F" w:rsidRPr="00EF1E1E">
              <w:rPr>
                <w:rStyle w:val="Lienhypertexte"/>
                <w:b/>
                <w:caps/>
                <w:noProof/>
              </w:rPr>
              <w:t>Documents contractuels</w:t>
            </w:r>
            <w:r w:rsidR="000A764F">
              <w:rPr>
                <w:noProof/>
                <w:webHidden/>
              </w:rPr>
              <w:tab/>
            </w:r>
            <w:r w:rsidR="000A764F">
              <w:rPr>
                <w:noProof/>
                <w:webHidden/>
              </w:rPr>
              <w:fldChar w:fldCharType="begin"/>
            </w:r>
            <w:r w:rsidR="000A764F">
              <w:rPr>
                <w:noProof/>
                <w:webHidden/>
              </w:rPr>
              <w:instrText xml:space="preserve"> PAGEREF _Toc126921970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2C15B542" w14:textId="77777777" w:rsidR="000A764F" w:rsidRDefault="00E36056">
          <w:pPr>
            <w:pStyle w:val="TM1"/>
            <w:tabs>
              <w:tab w:val="left" w:pos="1540"/>
              <w:tab w:val="right" w:leader="dot" w:pos="9736"/>
            </w:tabs>
            <w:rPr>
              <w:rFonts w:asciiTheme="minorHAnsi" w:eastAsiaTheme="minorEastAsia" w:hAnsiTheme="minorHAnsi" w:cstheme="minorBidi"/>
              <w:noProof/>
              <w:sz w:val="22"/>
              <w:szCs w:val="22"/>
            </w:rPr>
          </w:pPr>
          <w:hyperlink w:anchor="_Toc126921971" w:history="1">
            <w:r w:rsidR="000A764F" w:rsidRPr="00EF1E1E">
              <w:rPr>
                <w:rStyle w:val="Lienhypertexte"/>
                <w:b/>
                <w:caps/>
                <w:noProof/>
              </w:rPr>
              <w:t>ARTICLE 3 :</w:t>
            </w:r>
            <w:r w:rsidR="000A764F">
              <w:rPr>
                <w:rFonts w:asciiTheme="minorHAnsi" w:eastAsiaTheme="minorEastAsia" w:hAnsiTheme="minorHAnsi" w:cstheme="minorBidi"/>
                <w:noProof/>
                <w:sz w:val="22"/>
                <w:szCs w:val="22"/>
              </w:rPr>
              <w:tab/>
            </w:r>
            <w:r w:rsidR="000A764F" w:rsidRPr="00EF1E1E">
              <w:rPr>
                <w:rStyle w:val="Lienhypertexte"/>
                <w:b/>
                <w:caps/>
                <w:noProof/>
              </w:rPr>
              <w:t>CaractÉristiques gÉnÉrales du contrat</w:t>
            </w:r>
            <w:r w:rsidR="000A764F">
              <w:rPr>
                <w:noProof/>
                <w:webHidden/>
              </w:rPr>
              <w:tab/>
            </w:r>
            <w:r w:rsidR="000A764F">
              <w:rPr>
                <w:noProof/>
                <w:webHidden/>
              </w:rPr>
              <w:fldChar w:fldCharType="begin"/>
            </w:r>
            <w:r w:rsidR="000A764F">
              <w:rPr>
                <w:noProof/>
                <w:webHidden/>
              </w:rPr>
              <w:instrText xml:space="preserve"> PAGEREF _Toc126921971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57D7656A" w14:textId="77777777" w:rsidR="000A764F" w:rsidRDefault="00E36056">
          <w:pPr>
            <w:pStyle w:val="TM2"/>
            <w:rPr>
              <w:noProof/>
            </w:rPr>
          </w:pPr>
          <w:hyperlink w:anchor="_Toc126921972" w:history="1">
            <w:r w:rsidR="000A764F" w:rsidRPr="00EF1E1E">
              <w:rPr>
                <w:rStyle w:val="Lienhypertexte"/>
                <w:noProof/>
              </w:rPr>
              <w:t>Forme du contrat</w:t>
            </w:r>
            <w:r w:rsidR="000A764F">
              <w:rPr>
                <w:noProof/>
                <w:webHidden/>
              </w:rPr>
              <w:tab/>
            </w:r>
            <w:r w:rsidR="000A764F">
              <w:rPr>
                <w:noProof/>
                <w:webHidden/>
              </w:rPr>
              <w:fldChar w:fldCharType="begin"/>
            </w:r>
            <w:r w:rsidR="000A764F">
              <w:rPr>
                <w:noProof/>
                <w:webHidden/>
              </w:rPr>
              <w:instrText xml:space="preserve"> PAGEREF _Toc126921972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7D5A7570" w14:textId="77777777" w:rsidR="000A764F" w:rsidRDefault="00E36056">
          <w:pPr>
            <w:pStyle w:val="TM2"/>
            <w:rPr>
              <w:noProof/>
            </w:rPr>
          </w:pPr>
          <w:hyperlink w:anchor="_Toc126921973" w:history="1">
            <w:r w:rsidR="000A764F" w:rsidRPr="00EF1E1E">
              <w:rPr>
                <w:rStyle w:val="Lienhypertexte"/>
                <w:noProof/>
              </w:rPr>
              <w:t>Durée du contrat</w:t>
            </w:r>
            <w:r w:rsidR="000A764F">
              <w:rPr>
                <w:noProof/>
                <w:webHidden/>
              </w:rPr>
              <w:tab/>
            </w:r>
            <w:r w:rsidR="000A764F">
              <w:rPr>
                <w:noProof/>
                <w:webHidden/>
              </w:rPr>
              <w:fldChar w:fldCharType="begin"/>
            </w:r>
            <w:r w:rsidR="000A764F">
              <w:rPr>
                <w:noProof/>
                <w:webHidden/>
              </w:rPr>
              <w:instrText xml:space="preserve"> PAGEREF _Toc126921973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258330A" w14:textId="77777777" w:rsidR="000A764F" w:rsidRDefault="00E36056">
          <w:pPr>
            <w:pStyle w:val="TM2"/>
            <w:rPr>
              <w:noProof/>
            </w:rPr>
          </w:pPr>
          <w:hyperlink w:anchor="_Toc126921974" w:history="1">
            <w:r w:rsidR="000A764F" w:rsidRPr="00EF1E1E">
              <w:rPr>
                <w:rStyle w:val="Lienhypertexte"/>
                <w:noProof/>
              </w:rPr>
              <w:t>Déclenchement et délai [d’exécution des prestations][de livraison des fournitures]</w:t>
            </w:r>
            <w:r w:rsidR="000A764F">
              <w:rPr>
                <w:noProof/>
                <w:webHidden/>
              </w:rPr>
              <w:tab/>
            </w:r>
            <w:r w:rsidR="000A764F">
              <w:rPr>
                <w:noProof/>
                <w:webHidden/>
              </w:rPr>
              <w:fldChar w:fldCharType="begin"/>
            </w:r>
            <w:r w:rsidR="000A764F">
              <w:rPr>
                <w:noProof/>
                <w:webHidden/>
              </w:rPr>
              <w:instrText xml:space="preserve"> PAGEREF _Toc126921974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5CAAC918" w14:textId="77777777" w:rsidR="000A764F" w:rsidRDefault="00E36056">
          <w:pPr>
            <w:pStyle w:val="TM2"/>
            <w:rPr>
              <w:noProof/>
            </w:rPr>
          </w:pPr>
          <w:hyperlink w:anchor="_Toc126921975" w:history="1">
            <w:r w:rsidR="000A764F" w:rsidRPr="00EF1E1E">
              <w:rPr>
                <w:rStyle w:val="Lienhypertexte"/>
                <w:noProof/>
              </w:rPr>
              <w:t>Modalités de passation des bons de commande</w:t>
            </w:r>
            <w:r w:rsidR="000A764F">
              <w:rPr>
                <w:noProof/>
                <w:webHidden/>
              </w:rPr>
              <w:tab/>
            </w:r>
            <w:r w:rsidR="000A764F">
              <w:rPr>
                <w:noProof/>
                <w:webHidden/>
              </w:rPr>
              <w:fldChar w:fldCharType="begin"/>
            </w:r>
            <w:r w:rsidR="000A764F">
              <w:rPr>
                <w:noProof/>
                <w:webHidden/>
              </w:rPr>
              <w:instrText xml:space="preserve"> PAGEREF _Toc126921975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EF17BFB" w14:textId="77777777" w:rsidR="000A764F" w:rsidRDefault="00E36056">
          <w:pPr>
            <w:pStyle w:val="TM2"/>
            <w:rPr>
              <w:noProof/>
            </w:rPr>
          </w:pPr>
          <w:hyperlink w:anchor="_Toc126921976" w:history="1">
            <w:r w:rsidR="000A764F" w:rsidRPr="00EF1E1E">
              <w:rPr>
                <w:rStyle w:val="Lienhypertexte"/>
                <w:noProof/>
              </w:rPr>
              <w:t>Modalités d’affermissement des tranches</w:t>
            </w:r>
            <w:r w:rsidR="000A764F">
              <w:rPr>
                <w:noProof/>
                <w:webHidden/>
              </w:rPr>
              <w:tab/>
            </w:r>
            <w:r w:rsidR="000A764F">
              <w:rPr>
                <w:noProof/>
                <w:webHidden/>
              </w:rPr>
              <w:fldChar w:fldCharType="begin"/>
            </w:r>
            <w:r w:rsidR="000A764F">
              <w:rPr>
                <w:noProof/>
                <w:webHidden/>
              </w:rPr>
              <w:instrText xml:space="preserve"> PAGEREF _Toc126921976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312E12FE" w14:textId="77777777" w:rsidR="000A764F" w:rsidRDefault="00E36056">
          <w:pPr>
            <w:pStyle w:val="TM1"/>
            <w:tabs>
              <w:tab w:val="left" w:pos="1540"/>
              <w:tab w:val="right" w:leader="dot" w:pos="9736"/>
            </w:tabs>
            <w:rPr>
              <w:rFonts w:asciiTheme="minorHAnsi" w:eastAsiaTheme="minorEastAsia" w:hAnsiTheme="minorHAnsi" w:cstheme="minorBidi"/>
              <w:noProof/>
              <w:sz w:val="22"/>
              <w:szCs w:val="22"/>
            </w:rPr>
          </w:pPr>
          <w:hyperlink w:anchor="_Toc126921977" w:history="1">
            <w:r w:rsidR="000A764F" w:rsidRPr="00EF1E1E">
              <w:rPr>
                <w:rStyle w:val="Lienhypertexte"/>
                <w:b/>
                <w:caps/>
                <w:noProof/>
              </w:rPr>
              <w:t>ARTICLE 4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financiÈres</w:t>
            </w:r>
            <w:r w:rsidR="000A764F">
              <w:rPr>
                <w:noProof/>
                <w:webHidden/>
              </w:rPr>
              <w:tab/>
            </w:r>
            <w:r w:rsidR="000A764F">
              <w:rPr>
                <w:noProof/>
                <w:webHidden/>
              </w:rPr>
              <w:fldChar w:fldCharType="begin"/>
            </w:r>
            <w:r w:rsidR="000A764F">
              <w:rPr>
                <w:noProof/>
                <w:webHidden/>
              </w:rPr>
              <w:instrText xml:space="preserve"> PAGEREF _Toc126921977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4F9B66B3" w14:textId="77777777" w:rsidR="000A764F" w:rsidRDefault="00E36056">
          <w:pPr>
            <w:pStyle w:val="TM2"/>
            <w:rPr>
              <w:noProof/>
            </w:rPr>
          </w:pPr>
          <w:hyperlink w:anchor="_Toc126921978" w:history="1">
            <w:r w:rsidR="000A764F" w:rsidRPr="00EF1E1E">
              <w:rPr>
                <w:rStyle w:val="Lienhypertexte"/>
                <w:noProof/>
              </w:rPr>
              <w:t>Montant du contrat</w:t>
            </w:r>
            <w:r w:rsidR="000A764F">
              <w:rPr>
                <w:noProof/>
                <w:webHidden/>
              </w:rPr>
              <w:tab/>
            </w:r>
            <w:r w:rsidR="000A764F">
              <w:rPr>
                <w:noProof/>
                <w:webHidden/>
              </w:rPr>
              <w:fldChar w:fldCharType="begin"/>
            </w:r>
            <w:r w:rsidR="000A764F">
              <w:rPr>
                <w:noProof/>
                <w:webHidden/>
              </w:rPr>
              <w:instrText xml:space="preserve"> PAGEREF _Toc126921978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17BFC55C" w14:textId="77777777" w:rsidR="000A764F" w:rsidRDefault="00E36056">
          <w:pPr>
            <w:pStyle w:val="TM2"/>
            <w:rPr>
              <w:noProof/>
            </w:rPr>
          </w:pPr>
          <w:hyperlink w:anchor="_Toc126921979" w:history="1">
            <w:r w:rsidR="000A764F" w:rsidRPr="00EF1E1E">
              <w:rPr>
                <w:rStyle w:val="Lienhypertexte"/>
                <w:noProof/>
              </w:rPr>
              <w:t>Forme des prix</w:t>
            </w:r>
            <w:r w:rsidR="000A764F">
              <w:rPr>
                <w:noProof/>
                <w:webHidden/>
              </w:rPr>
              <w:tab/>
            </w:r>
            <w:r w:rsidR="000A764F">
              <w:rPr>
                <w:noProof/>
                <w:webHidden/>
              </w:rPr>
              <w:fldChar w:fldCharType="begin"/>
            </w:r>
            <w:r w:rsidR="000A764F">
              <w:rPr>
                <w:noProof/>
                <w:webHidden/>
              </w:rPr>
              <w:instrText xml:space="preserve"> PAGEREF _Toc126921979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33031637" w14:textId="77777777" w:rsidR="000A764F" w:rsidRDefault="00E36056">
          <w:pPr>
            <w:pStyle w:val="TM2"/>
            <w:rPr>
              <w:noProof/>
            </w:rPr>
          </w:pPr>
          <w:hyperlink w:anchor="_Toc126921980" w:history="1">
            <w:r w:rsidR="000A764F" w:rsidRPr="00EF1E1E">
              <w:rPr>
                <w:rStyle w:val="Lienhypertexte"/>
                <w:noProof/>
              </w:rPr>
              <w:t>Avance</w:t>
            </w:r>
            <w:r w:rsidR="000A764F">
              <w:rPr>
                <w:noProof/>
                <w:webHidden/>
              </w:rPr>
              <w:tab/>
            </w:r>
            <w:r w:rsidR="000A764F">
              <w:rPr>
                <w:noProof/>
                <w:webHidden/>
              </w:rPr>
              <w:fldChar w:fldCharType="begin"/>
            </w:r>
            <w:r w:rsidR="000A764F">
              <w:rPr>
                <w:noProof/>
                <w:webHidden/>
              </w:rPr>
              <w:instrText xml:space="preserve"> PAGEREF _Toc126921980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187813E0" w14:textId="77777777" w:rsidR="000A764F" w:rsidRDefault="00E36056">
          <w:pPr>
            <w:pStyle w:val="TM2"/>
            <w:rPr>
              <w:noProof/>
            </w:rPr>
          </w:pPr>
          <w:hyperlink w:anchor="_Toc126921981" w:history="1">
            <w:r w:rsidR="000A764F" w:rsidRPr="00EF1E1E">
              <w:rPr>
                <w:rStyle w:val="Lienhypertexte"/>
                <w:noProof/>
              </w:rPr>
              <w:t>Modalités de paiement</w:t>
            </w:r>
            <w:r w:rsidR="000A764F">
              <w:rPr>
                <w:noProof/>
                <w:webHidden/>
              </w:rPr>
              <w:tab/>
            </w:r>
            <w:r w:rsidR="000A764F">
              <w:rPr>
                <w:noProof/>
                <w:webHidden/>
              </w:rPr>
              <w:fldChar w:fldCharType="begin"/>
            </w:r>
            <w:r w:rsidR="000A764F">
              <w:rPr>
                <w:noProof/>
                <w:webHidden/>
              </w:rPr>
              <w:instrText xml:space="preserve"> PAGEREF _Toc126921981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519F2E53" w14:textId="77777777" w:rsidR="000A764F" w:rsidRDefault="00E36056">
          <w:pPr>
            <w:pStyle w:val="TM2"/>
            <w:rPr>
              <w:noProof/>
            </w:rPr>
          </w:pPr>
          <w:hyperlink w:anchor="_Toc126921982" w:history="1">
            <w:r w:rsidR="000A764F" w:rsidRPr="00EF1E1E">
              <w:rPr>
                <w:rStyle w:val="Lienhypertexte"/>
                <w:noProof/>
              </w:rPr>
              <w:t>Délais de paiement et intérêts moratoires</w:t>
            </w:r>
            <w:r w:rsidR="000A764F">
              <w:rPr>
                <w:noProof/>
                <w:webHidden/>
              </w:rPr>
              <w:tab/>
            </w:r>
            <w:r w:rsidR="000A764F">
              <w:rPr>
                <w:noProof/>
                <w:webHidden/>
              </w:rPr>
              <w:fldChar w:fldCharType="begin"/>
            </w:r>
            <w:r w:rsidR="000A764F">
              <w:rPr>
                <w:noProof/>
                <w:webHidden/>
              </w:rPr>
              <w:instrText xml:space="preserve"> PAGEREF _Toc126921982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62C0F799" w14:textId="77777777" w:rsidR="000A764F" w:rsidRDefault="00E36056">
          <w:pPr>
            <w:pStyle w:val="TM2"/>
            <w:rPr>
              <w:noProof/>
            </w:rPr>
          </w:pPr>
          <w:hyperlink w:anchor="_Toc126921983" w:history="1">
            <w:r w:rsidR="000A764F" w:rsidRPr="00EF1E1E">
              <w:rPr>
                <w:rStyle w:val="Lienhypertexte"/>
                <w:noProof/>
              </w:rPr>
              <w:t>Présentation des demandes de paiement</w:t>
            </w:r>
            <w:r w:rsidR="000A764F">
              <w:rPr>
                <w:noProof/>
                <w:webHidden/>
              </w:rPr>
              <w:tab/>
            </w:r>
            <w:r w:rsidR="000A764F">
              <w:rPr>
                <w:noProof/>
                <w:webHidden/>
              </w:rPr>
              <w:fldChar w:fldCharType="begin"/>
            </w:r>
            <w:r w:rsidR="000A764F">
              <w:rPr>
                <w:noProof/>
                <w:webHidden/>
              </w:rPr>
              <w:instrText xml:space="preserve"> PAGEREF _Toc126921983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1FE7936F" w14:textId="77777777" w:rsidR="000A764F" w:rsidRDefault="00E36056">
          <w:pPr>
            <w:pStyle w:val="TM2"/>
            <w:rPr>
              <w:noProof/>
            </w:rPr>
          </w:pPr>
          <w:hyperlink w:anchor="_Toc126921984" w:history="1">
            <w:r w:rsidR="000A764F" w:rsidRPr="00EF1E1E">
              <w:rPr>
                <w:rStyle w:val="Lienhypertexte"/>
                <w:noProof/>
              </w:rPr>
              <w:t>Virement bancaire</w:t>
            </w:r>
            <w:r w:rsidR="000A764F">
              <w:rPr>
                <w:noProof/>
                <w:webHidden/>
              </w:rPr>
              <w:tab/>
            </w:r>
            <w:r w:rsidR="000A764F">
              <w:rPr>
                <w:noProof/>
                <w:webHidden/>
              </w:rPr>
              <w:fldChar w:fldCharType="begin"/>
            </w:r>
            <w:r w:rsidR="000A764F">
              <w:rPr>
                <w:noProof/>
                <w:webHidden/>
              </w:rPr>
              <w:instrText xml:space="preserve"> PAGEREF _Toc126921984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120FBD8D" w14:textId="77777777" w:rsidR="000A764F" w:rsidRDefault="00E36056">
          <w:pPr>
            <w:pStyle w:val="TM2"/>
            <w:rPr>
              <w:noProof/>
            </w:rPr>
          </w:pPr>
          <w:hyperlink w:anchor="_Toc126921985" w:history="1">
            <w:r w:rsidR="000A764F" w:rsidRPr="00EF1E1E">
              <w:rPr>
                <w:rStyle w:val="Lienhypertexte"/>
                <w:noProof/>
              </w:rPr>
              <w:t>Taxe sur la valeur ajoutée</w:t>
            </w:r>
            <w:r w:rsidR="000A764F">
              <w:rPr>
                <w:noProof/>
                <w:webHidden/>
              </w:rPr>
              <w:tab/>
            </w:r>
            <w:r w:rsidR="000A764F">
              <w:rPr>
                <w:noProof/>
                <w:webHidden/>
              </w:rPr>
              <w:fldChar w:fldCharType="begin"/>
            </w:r>
            <w:r w:rsidR="000A764F">
              <w:rPr>
                <w:noProof/>
                <w:webHidden/>
              </w:rPr>
              <w:instrText xml:space="preserve"> PAGEREF _Toc126921985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00E794DB" w14:textId="77777777" w:rsidR="000A764F" w:rsidRDefault="00E36056">
          <w:pPr>
            <w:pStyle w:val="TM2"/>
            <w:rPr>
              <w:noProof/>
            </w:rPr>
          </w:pPr>
          <w:hyperlink w:anchor="_Toc126921986" w:history="1">
            <w:r w:rsidR="000A764F" w:rsidRPr="00EF1E1E">
              <w:rPr>
                <w:rStyle w:val="Lienhypertexte"/>
                <w:noProof/>
              </w:rPr>
              <w:t>Impôts et taxes</w:t>
            </w:r>
            <w:r w:rsidR="000A764F">
              <w:rPr>
                <w:noProof/>
                <w:webHidden/>
              </w:rPr>
              <w:tab/>
            </w:r>
            <w:r w:rsidR="000A764F">
              <w:rPr>
                <w:noProof/>
                <w:webHidden/>
              </w:rPr>
              <w:fldChar w:fldCharType="begin"/>
            </w:r>
            <w:r w:rsidR="000A764F">
              <w:rPr>
                <w:noProof/>
                <w:webHidden/>
              </w:rPr>
              <w:instrText xml:space="preserve"> PAGEREF _Toc126921986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4F4645BD" w14:textId="77777777" w:rsidR="000A764F" w:rsidRDefault="00E36056">
          <w:pPr>
            <w:pStyle w:val="TM1"/>
            <w:tabs>
              <w:tab w:val="left" w:pos="1540"/>
              <w:tab w:val="right" w:leader="dot" w:pos="9736"/>
            </w:tabs>
            <w:rPr>
              <w:rFonts w:asciiTheme="minorHAnsi" w:eastAsiaTheme="minorEastAsia" w:hAnsiTheme="minorHAnsi" w:cstheme="minorBidi"/>
              <w:noProof/>
              <w:sz w:val="22"/>
              <w:szCs w:val="22"/>
            </w:rPr>
          </w:pPr>
          <w:hyperlink w:anchor="_Toc126921987" w:history="1">
            <w:r w:rsidR="000A764F" w:rsidRPr="00EF1E1E">
              <w:rPr>
                <w:rStyle w:val="Lienhypertexte"/>
                <w:b/>
                <w:caps/>
                <w:noProof/>
              </w:rPr>
              <w:t>ARTICLE 5 :</w:t>
            </w:r>
            <w:r w:rsidR="000A764F">
              <w:rPr>
                <w:rFonts w:asciiTheme="minorHAnsi" w:eastAsiaTheme="minorEastAsia" w:hAnsiTheme="minorHAnsi" w:cstheme="minorBidi"/>
                <w:noProof/>
                <w:sz w:val="22"/>
                <w:szCs w:val="22"/>
              </w:rPr>
              <w:tab/>
            </w:r>
            <w:r w:rsidR="000A764F" w:rsidRPr="00EF1E1E">
              <w:rPr>
                <w:rStyle w:val="Lienhypertexte"/>
                <w:b/>
                <w:caps/>
                <w:noProof/>
              </w:rPr>
              <w:t>opÉrations de vÉrification et d’admission</w:t>
            </w:r>
            <w:r w:rsidR="000A764F">
              <w:rPr>
                <w:noProof/>
                <w:webHidden/>
              </w:rPr>
              <w:tab/>
            </w:r>
            <w:r w:rsidR="000A764F">
              <w:rPr>
                <w:noProof/>
                <w:webHidden/>
              </w:rPr>
              <w:fldChar w:fldCharType="begin"/>
            </w:r>
            <w:r w:rsidR="000A764F">
              <w:rPr>
                <w:noProof/>
                <w:webHidden/>
              </w:rPr>
              <w:instrText xml:space="preserve"> PAGEREF _Toc126921987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5EE35A2" w14:textId="77777777" w:rsidR="000A764F" w:rsidRDefault="00E36056">
          <w:pPr>
            <w:pStyle w:val="TM2"/>
            <w:rPr>
              <w:noProof/>
            </w:rPr>
          </w:pPr>
          <w:hyperlink w:anchor="_Toc126921988" w:history="1">
            <w:r w:rsidR="000A764F" w:rsidRPr="00EF1E1E">
              <w:rPr>
                <w:rStyle w:val="Lienhypertexte"/>
                <w:rFonts w:cstheme="minorHAnsi"/>
                <w:noProof/>
              </w:rPr>
              <w:t>Opérations de vérification</w:t>
            </w:r>
            <w:r w:rsidR="000A764F">
              <w:rPr>
                <w:noProof/>
                <w:webHidden/>
              </w:rPr>
              <w:tab/>
            </w:r>
            <w:r w:rsidR="000A764F">
              <w:rPr>
                <w:noProof/>
                <w:webHidden/>
              </w:rPr>
              <w:fldChar w:fldCharType="begin"/>
            </w:r>
            <w:r w:rsidR="000A764F">
              <w:rPr>
                <w:noProof/>
                <w:webHidden/>
              </w:rPr>
              <w:instrText xml:space="preserve"> PAGEREF _Toc126921988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2E8C6237" w14:textId="77777777" w:rsidR="000A764F" w:rsidRDefault="00E36056">
          <w:pPr>
            <w:pStyle w:val="TM2"/>
            <w:rPr>
              <w:noProof/>
            </w:rPr>
          </w:pPr>
          <w:hyperlink w:anchor="_Toc126921989" w:history="1">
            <w:r w:rsidR="000A764F" w:rsidRPr="00EF1E1E">
              <w:rPr>
                <w:rStyle w:val="Lienhypertexte"/>
                <w:rFonts w:cstheme="minorHAnsi"/>
                <w:noProof/>
              </w:rPr>
              <w:t>Admission des prestations et des fournitures</w:t>
            </w:r>
            <w:r w:rsidR="000A764F">
              <w:rPr>
                <w:noProof/>
                <w:webHidden/>
              </w:rPr>
              <w:tab/>
            </w:r>
            <w:r w:rsidR="000A764F">
              <w:rPr>
                <w:noProof/>
                <w:webHidden/>
              </w:rPr>
              <w:fldChar w:fldCharType="begin"/>
            </w:r>
            <w:r w:rsidR="000A764F">
              <w:rPr>
                <w:noProof/>
                <w:webHidden/>
              </w:rPr>
              <w:instrText xml:space="preserve"> PAGEREF _Toc126921989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AA0B411" w14:textId="77777777" w:rsidR="000A764F" w:rsidRDefault="00E36056">
          <w:pPr>
            <w:pStyle w:val="TM1"/>
            <w:tabs>
              <w:tab w:val="left" w:pos="1540"/>
              <w:tab w:val="right" w:leader="dot" w:pos="9736"/>
            </w:tabs>
            <w:rPr>
              <w:rFonts w:asciiTheme="minorHAnsi" w:eastAsiaTheme="minorEastAsia" w:hAnsiTheme="minorHAnsi" w:cstheme="minorBidi"/>
              <w:noProof/>
              <w:sz w:val="22"/>
              <w:szCs w:val="22"/>
            </w:rPr>
          </w:pPr>
          <w:hyperlink w:anchor="_Toc126921990" w:history="1">
            <w:r w:rsidR="000A764F" w:rsidRPr="00EF1E1E">
              <w:rPr>
                <w:rStyle w:val="Lienhypertexte"/>
                <w:b/>
                <w:caps/>
                <w:noProof/>
              </w:rPr>
              <w:t>ARTICLE 6 :</w:t>
            </w:r>
            <w:r w:rsidR="000A764F">
              <w:rPr>
                <w:rFonts w:asciiTheme="minorHAnsi" w:eastAsiaTheme="minorEastAsia" w:hAnsiTheme="minorHAnsi" w:cstheme="minorBidi"/>
                <w:noProof/>
                <w:sz w:val="22"/>
                <w:szCs w:val="22"/>
              </w:rPr>
              <w:tab/>
            </w:r>
            <w:r w:rsidR="000A764F" w:rsidRPr="00EF1E1E">
              <w:rPr>
                <w:rStyle w:val="Lienhypertexte"/>
                <w:b/>
                <w:caps/>
                <w:noProof/>
              </w:rPr>
              <w:t>ModalitÉs spÉcifiques d’exécution</w:t>
            </w:r>
            <w:r w:rsidR="000A764F">
              <w:rPr>
                <w:noProof/>
                <w:webHidden/>
              </w:rPr>
              <w:tab/>
            </w:r>
            <w:r w:rsidR="000A764F">
              <w:rPr>
                <w:noProof/>
                <w:webHidden/>
              </w:rPr>
              <w:fldChar w:fldCharType="begin"/>
            </w:r>
            <w:r w:rsidR="000A764F">
              <w:rPr>
                <w:noProof/>
                <w:webHidden/>
              </w:rPr>
              <w:instrText xml:space="preserve"> PAGEREF _Toc126921990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6228D314" w14:textId="77777777" w:rsidR="000A764F" w:rsidRDefault="00E36056">
          <w:pPr>
            <w:pStyle w:val="TM2"/>
            <w:rPr>
              <w:noProof/>
            </w:rPr>
          </w:pPr>
          <w:hyperlink w:anchor="_Toc126921991" w:history="1">
            <w:r w:rsidR="000A764F" w:rsidRPr="00EF1E1E">
              <w:rPr>
                <w:rStyle w:val="Lienhypertexte"/>
                <w:rFonts w:cstheme="minorHAnsi"/>
                <w:noProof/>
              </w:rPr>
              <w:t>Tableau des livrables</w:t>
            </w:r>
            <w:r w:rsidR="000A764F">
              <w:rPr>
                <w:noProof/>
                <w:webHidden/>
              </w:rPr>
              <w:tab/>
            </w:r>
            <w:r w:rsidR="000A764F">
              <w:rPr>
                <w:noProof/>
                <w:webHidden/>
              </w:rPr>
              <w:fldChar w:fldCharType="begin"/>
            </w:r>
            <w:r w:rsidR="000A764F">
              <w:rPr>
                <w:noProof/>
                <w:webHidden/>
              </w:rPr>
              <w:instrText xml:space="preserve"> PAGEREF _Toc126921991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3369D7A" w14:textId="77777777" w:rsidR="000A764F" w:rsidRDefault="00E36056">
          <w:pPr>
            <w:pStyle w:val="TM2"/>
            <w:rPr>
              <w:noProof/>
            </w:rPr>
          </w:pPr>
          <w:hyperlink w:anchor="_Toc126921992" w:history="1">
            <w:r w:rsidR="000A764F" w:rsidRPr="00EF1E1E">
              <w:rPr>
                <w:rStyle w:val="Lienhypertexte"/>
                <w:rFonts w:cstheme="minorHAnsi"/>
                <w:noProof/>
              </w:rPr>
              <w:t>Expert en charge de l’exécution de la mission</w:t>
            </w:r>
            <w:r w:rsidR="000A764F">
              <w:rPr>
                <w:noProof/>
                <w:webHidden/>
              </w:rPr>
              <w:tab/>
            </w:r>
            <w:r w:rsidR="000A764F">
              <w:rPr>
                <w:noProof/>
                <w:webHidden/>
              </w:rPr>
              <w:fldChar w:fldCharType="begin"/>
            </w:r>
            <w:r w:rsidR="000A764F">
              <w:rPr>
                <w:noProof/>
                <w:webHidden/>
              </w:rPr>
              <w:instrText xml:space="preserve"> PAGEREF _Toc126921992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71442AC8" w14:textId="77777777" w:rsidR="000A764F" w:rsidRDefault="00E36056">
          <w:pPr>
            <w:pStyle w:val="TM2"/>
            <w:rPr>
              <w:noProof/>
            </w:rPr>
          </w:pPr>
          <w:hyperlink w:anchor="_Toc126921993" w:history="1">
            <w:r w:rsidR="000A764F" w:rsidRPr="00EF1E1E">
              <w:rPr>
                <w:rStyle w:val="Lienhypertexte"/>
                <w:rFonts w:cstheme="minorHAnsi"/>
                <w:noProof/>
              </w:rPr>
              <w:t>Lieu d’exécution</w:t>
            </w:r>
            <w:r w:rsidR="000A764F">
              <w:rPr>
                <w:noProof/>
                <w:webHidden/>
              </w:rPr>
              <w:tab/>
            </w:r>
            <w:r w:rsidR="000A764F">
              <w:rPr>
                <w:noProof/>
                <w:webHidden/>
              </w:rPr>
              <w:fldChar w:fldCharType="begin"/>
            </w:r>
            <w:r w:rsidR="000A764F">
              <w:rPr>
                <w:noProof/>
                <w:webHidden/>
              </w:rPr>
              <w:instrText xml:space="preserve"> PAGEREF _Toc126921993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5F2A3636" w14:textId="77777777" w:rsidR="000A764F" w:rsidRDefault="00E36056">
          <w:pPr>
            <w:pStyle w:val="TM2"/>
            <w:rPr>
              <w:noProof/>
            </w:rPr>
          </w:pPr>
          <w:hyperlink w:anchor="_Toc126921994" w:history="1">
            <w:r w:rsidR="000A764F" w:rsidRPr="00EF1E1E">
              <w:rPr>
                <w:rStyle w:val="Lienhypertexte"/>
                <w:rFonts w:cstheme="minorHAnsi"/>
                <w:noProof/>
              </w:rPr>
              <w:t>Livraison</w:t>
            </w:r>
            <w:r w:rsidR="000A764F">
              <w:rPr>
                <w:noProof/>
                <w:webHidden/>
              </w:rPr>
              <w:tab/>
            </w:r>
            <w:r w:rsidR="000A764F">
              <w:rPr>
                <w:noProof/>
                <w:webHidden/>
              </w:rPr>
              <w:fldChar w:fldCharType="begin"/>
            </w:r>
            <w:r w:rsidR="000A764F">
              <w:rPr>
                <w:noProof/>
                <w:webHidden/>
              </w:rPr>
              <w:instrText xml:space="preserve"> PAGEREF _Toc126921994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716EA3AF" w14:textId="77777777" w:rsidR="000A764F" w:rsidRDefault="00E36056">
          <w:pPr>
            <w:pStyle w:val="TM2"/>
            <w:rPr>
              <w:noProof/>
            </w:rPr>
          </w:pPr>
          <w:hyperlink w:anchor="_Toc126921995" w:history="1">
            <w:r w:rsidR="000A764F" w:rsidRPr="00EF1E1E">
              <w:rPr>
                <w:rStyle w:val="Lienhypertexte"/>
                <w:rFonts w:cstheme="minorHAnsi"/>
                <w:noProof/>
              </w:rPr>
              <w:t>Contrôle des exports</w:t>
            </w:r>
            <w:r w:rsidR="000A764F">
              <w:rPr>
                <w:noProof/>
                <w:webHidden/>
              </w:rPr>
              <w:tab/>
            </w:r>
            <w:r w:rsidR="000A764F">
              <w:rPr>
                <w:noProof/>
                <w:webHidden/>
              </w:rPr>
              <w:fldChar w:fldCharType="begin"/>
            </w:r>
            <w:r w:rsidR="000A764F">
              <w:rPr>
                <w:noProof/>
                <w:webHidden/>
              </w:rPr>
              <w:instrText xml:space="preserve"> PAGEREF _Toc126921995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3C8A6A42" w14:textId="77777777" w:rsidR="000A764F" w:rsidRDefault="00E36056">
          <w:pPr>
            <w:pStyle w:val="TM2"/>
            <w:rPr>
              <w:noProof/>
            </w:rPr>
          </w:pPr>
          <w:hyperlink w:anchor="_Toc126921996" w:history="1">
            <w:r w:rsidR="000A764F" w:rsidRPr="00EF1E1E">
              <w:rPr>
                <w:rStyle w:val="Lienhypertexte"/>
                <w:rFonts w:cstheme="minorHAnsi"/>
                <w:noProof/>
              </w:rPr>
              <w:t>Langue du contrat</w:t>
            </w:r>
            <w:r w:rsidR="000A764F">
              <w:rPr>
                <w:noProof/>
                <w:webHidden/>
              </w:rPr>
              <w:tab/>
            </w:r>
            <w:r w:rsidR="000A764F">
              <w:rPr>
                <w:noProof/>
                <w:webHidden/>
              </w:rPr>
              <w:fldChar w:fldCharType="begin"/>
            </w:r>
            <w:r w:rsidR="000A764F">
              <w:rPr>
                <w:noProof/>
                <w:webHidden/>
              </w:rPr>
              <w:instrText xml:space="preserve"> PAGEREF _Toc126921996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51B3F38" w14:textId="77777777" w:rsidR="000A764F" w:rsidRDefault="00E36056">
          <w:pPr>
            <w:pStyle w:val="TM2"/>
            <w:rPr>
              <w:noProof/>
            </w:rPr>
          </w:pPr>
          <w:hyperlink w:anchor="_Toc126921997" w:history="1">
            <w:r w:rsidR="000A764F" w:rsidRPr="00EF1E1E">
              <w:rPr>
                <w:rStyle w:val="Lienhypertexte"/>
                <w:rFonts w:cstheme="minorHAnsi"/>
                <w:noProof/>
              </w:rPr>
              <w:t xml:space="preserve">Engagement du </w:t>
            </w:r>
            <w:r w:rsidR="000A764F" w:rsidRPr="00EF1E1E">
              <w:rPr>
                <w:rStyle w:val="Lienhypertexte"/>
                <w:rFonts w:cstheme="minorHAnsi"/>
                <w:smallCaps/>
                <w:noProof/>
              </w:rPr>
              <w:t>Contractant</w:t>
            </w:r>
            <w:r w:rsidR="000A764F">
              <w:rPr>
                <w:noProof/>
                <w:webHidden/>
              </w:rPr>
              <w:tab/>
            </w:r>
            <w:r w:rsidR="000A764F">
              <w:rPr>
                <w:noProof/>
                <w:webHidden/>
              </w:rPr>
              <w:fldChar w:fldCharType="begin"/>
            </w:r>
            <w:r w:rsidR="000A764F">
              <w:rPr>
                <w:noProof/>
                <w:webHidden/>
              </w:rPr>
              <w:instrText xml:space="preserve"> PAGEREF _Toc126921997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15507A2" w14:textId="77777777" w:rsidR="000A764F" w:rsidRDefault="00E36056">
          <w:pPr>
            <w:pStyle w:val="TM2"/>
            <w:rPr>
              <w:noProof/>
            </w:rPr>
          </w:pPr>
          <w:hyperlink w:anchor="_Toc126921998" w:history="1">
            <w:r w:rsidR="000A764F" w:rsidRPr="00EF1E1E">
              <w:rPr>
                <w:rStyle w:val="Lienhypertexte"/>
                <w:rFonts w:cstheme="minorHAnsi"/>
                <w:noProof/>
              </w:rPr>
              <w:t>Confidentialité</w:t>
            </w:r>
            <w:r w:rsidR="000A764F">
              <w:rPr>
                <w:noProof/>
                <w:webHidden/>
              </w:rPr>
              <w:tab/>
            </w:r>
            <w:r w:rsidR="000A764F">
              <w:rPr>
                <w:noProof/>
                <w:webHidden/>
              </w:rPr>
              <w:fldChar w:fldCharType="begin"/>
            </w:r>
            <w:r w:rsidR="000A764F">
              <w:rPr>
                <w:noProof/>
                <w:webHidden/>
              </w:rPr>
              <w:instrText xml:space="preserve"> PAGEREF _Toc126921998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5612A5D8" w14:textId="77777777" w:rsidR="000A764F" w:rsidRDefault="00E36056">
          <w:pPr>
            <w:pStyle w:val="TM2"/>
            <w:rPr>
              <w:noProof/>
            </w:rPr>
          </w:pPr>
          <w:hyperlink w:anchor="_Toc126921999" w:history="1">
            <w:r w:rsidR="000A764F" w:rsidRPr="00EF1E1E">
              <w:rPr>
                <w:rStyle w:val="Lienhypertexte"/>
                <w:rFonts w:cstheme="minorHAnsi"/>
                <w:noProof/>
              </w:rPr>
              <w:t>Fournitures documents</w:t>
            </w:r>
            <w:r w:rsidR="000A764F">
              <w:rPr>
                <w:noProof/>
                <w:webHidden/>
              </w:rPr>
              <w:tab/>
            </w:r>
            <w:r w:rsidR="000A764F">
              <w:rPr>
                <w:noProof/>
                <w:webHidden/>
              </w:rPr>
              <w:fldChar w:fldCharType="begin"/>
            </w:r>
            <w:r w:rsidR="000A764F">
              <w:rPr>
                <w:noProof/>
                <w:webHidden/>
              </w:rPr>
              <w:instrText xml:space="preserve"> PAGEREF _Toc126921999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4714110" w14:textId="77777777" w:rsidR="000A764F" w:rsidRDefault="00E36056">
          <w:pPr>
            <w:pStyle w:val="TM2"/>
            <w:rPr>
              <w:noProof/>
            </w:rPr>
          </w:pPr>
          <w:hyperlink w:anchor="_Toc126922000" w:history="1">
            <w:r w:rsidR="000A764F" w:rsidRPr="00EF1E1E">
              <w:rPr>
                <w:rStyle w:val="Lienhypertexte"/>
                <w:rFonts w:cstheme="minorHAnsi"/>
                <w:noProof/>
              </w:rPr>
              <w:t>Assurance</w:t>
            </w:r>
            <w:r w:rsidR="000A764F">
              <w:rPr>
                <w:noProof/>
                <w:webHidden/>
              </w:rPr>
              <w:tab/>
            </w:r>
            <w:r w:rsidR="000A764F">
              <w:rPr>
                <w:noProof/>
                <w:webHidden/>
              </w:rPr>
              <w:fldChar w:fldCharType="begin"/>
            </w:r>
            <w:r w:rsidR="000A764F">
              <w:rPr>
                <w:noProof/>
                <w:webHidden/>
              </w:rPr>
              <w:instrText xml:space="preserve"> PAGEREF _Toc126922000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7D9C460" w14:textId="77777777" w:rsidR="000A764F" w:rsidRDefault="00E36056">
          <w:pPr>
            <w:pStyle w:val="TM2"/>
            <w:rPr>
              <w:noProof/>
            </w:rPr>
          </w:pPr>
          <w:hyperlink w:anchor="_Toc126922001" w:history="1">
            <w:r w:rsidR="000A764F" w:rsidRPr="00EF1E1E">
              <w:rPr>
                <w:rStyle w:val="Lienhypertexte"/>
                <w:rFonts w:cstheme="minorHAnsi"/>
                <w:noProof/>
              </w:rPr>
              <w:t>Point de contact et communication</w:t>
            </w:r>
            <w:r w:rsidR="000A764F">
              <w:rPr>
                <w:noProof/>
                <w:webHidden/>
              </w:rPr>
              <w:tab/>
            </w:r>
            <w:r w:rsidR="000A764F">
              <w:rPr>
                <w:noProof/>
                <w:webHidden/>
              </w:rPr>
              <w:fldChar w:fldCharType="begin"/>
            </w:r>
            <w:r w:rsidR="000A764F">
              <w:rPr>
                <w:noProof/>
                <w:webHidden/>
              </w:rPr>
              <w:instrText xml:space="preserve"> PAGEREF _Toc126922001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684F6E3D" w14:textId="77777777" w:rsidR="000A764F" w:rsidRDefault="00E36056">
          <w:pPr>
            <w:pStyle w:val="TM2"/>
            <w:rPr>
              <w:noProof/>
            </w:rPr>
          </w:pPr>
          <w:hyperlink w:anchor="_Toc126922002" w:history="1">
            <w:r w:rsidR="000A764F" w:rsidRPr="00EF1E1E">
              <w:rPr>
                <w:rStyle w:val="Lienhypertexte"/>
                <w:rFonts w:cstheme="minorHAnsi"/>
                <w:noProof/>
              </w:rPr>
              <w:t>Engagement contre la déforestation</w:t>
            </w:r>
            <w:r w:rsidR="000A764F">
              <w:rPr>
                <w:noProof/>
                <w:webHidden/>
              </w:rPr>
              <w:tab/>
            </w:r>
            <w:r w:rsidR="000A764F">
              <w:rPr>
                <w:noProof/>
                <w:webHidden/>
              </w:rPr>
              <w:fldChar w:fldCharType="begin"/>
            </w:r>
            <w:r w:rsidR="000A764F">
              <w:rPr>
                <w:noProof/>
                <w:webHidden/>
              </w:rPr>
              <w:instrText xml:space="preserve"> PAGEREF _Toc126922002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4A45126B" w14:textId="77777777" w:rsidR="000A764F" w:rsidRDefault="00E36056">
          <w:pPr>
            <w:pStyle w:val="TM1"/>
            <w:tabs>
              <w:tab w:val="left" w:pos="1540"/>
              <w:tab w:val="right" w:leader="dot" w:pos="9736"/>
            </w:tabs>
            <w:rPr>
              <w:rFonts w:asciiTheme="minorHAnsi" w:eastAsiaTheme="minorEastAsia" w:hAnsiTheme="minorHAnsi" w:cstheme="minorBidi"/>
              <w:noProof/>
              <w:sz w:val="22"/>
              <w:szCs w:val="22"/>
            </w:rPr>
          </w:pPr>
          <w:hyperlink w:anchor="_Toc126922003" w:history="1">
            <w:r w:rsidR="000A764F" w:rsidRPr="00EF1E1E">
              <w:rPr>
                <w:rStyle w:val="Lienhypertexte"/>
                <w:b/>
                <w:caps/>
                <w:noProof/>
              </w:rPr>
              <w:t>ARTICLE 7 :</w:t>
            </w:r>
            <w:r w:rsidR="000A764F">
              <w:rPr>
                <w:rFonts w:asciiTheme="minorHAnsi" w:eastAsiaTheme="minorEastAsia" w:hAnsiTheme="minorHAnsi" w:cstheme="minorBidi"/>
                <w:noProof/>
                <w:sz w:val="22"/>
                <w:szCs w:val="22"/>
              </w:rPr>
              <w:tab/>
            </w:r>
            <w:r w:rsidR="000A764F" w:rsidRPr="00EF1E1E">
              <w:rPr>
                <w:rStyle w:val="Lienhypertexte"/>
                <w:b/>
                <w:caps/>
                <w:noProof/>
              </w:rPr>
              <w:t>Clause de réexamen</w:t>
            </w:r>
            <w:r w:rsidR="000A764F">
              <w:rPr>
                <w:noProof/>
                <w:webHidden/>
              </w:rPr>
              <w:tab/>
            </w:r>
            <w:r w:rsidR="000A764F">
              <w:rPr>
                <w:noProof/>
                <w:webHidden/>
              </w:rPr>
              <w:fldChar w:fldCharType="begin"/>
            </w:r>
            <w:r w:rsidR="000A764F">
              <w:rPr>
                <w:noProof/>
                <w:webHidden/>
              </w:rPr>
              <w:instrText xml:space="preserve"> PAGEREF _Toc126922003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56E0812A" w14:textId="77777777" w:rsidR="000A764F" w:rsidRDefault="00E36056">
          <w:pPr>
            <w:pStyle w:val="TM1"/>
            <w:tabs>
              <w:tab w:val="left" w:pos="1540"/>
              <w:tab w:val="right" w:leader="dot" w:pos="9736"/>
            </w:tabs>
            <w:rPr>
              <w:rFonts w:asciiTheme="minorHAnsi" w:eastAsiaTheme="minorEastAsia" w:hAnsiTheme="minorHAnsi" w:cstheme="minorBidi"/>
              <w:noProof/>
              <w:sz w:val="22"/>
              <w:szCs w:val="22"/>
            </w:rPr>
          </w:pPr>
          <w:hyperlink w:anchor="_Toc126922004" w:history="1">
            <w:r w:rsidR="000A764F" w:rsidRPr="00EF1E1E">
              <w:rPr>
                <w:rStyle w:val="Lienhypertexte"/>
                <w:b/>
                <w:caps/>
                <w:noProof/>
              </w:rPr>
              <w:t>ARTICLE 8 :</w:t>
            </w:r>
            <w:r w:rsidR="000A764F">
              <w:rPr>
                <w:rFonts w:asciiTheme="minorHAnsi" w:eastAsiaTheme="minorEastAsia" w:hAnsiTheme="minorHAnsi" w:cstheme="minorBidi"/>
                <w:noProof/>
                <w:sz w:val="22"/>
                <w:szCs w:val="22"/>
              </w:rPr>
              <w:tab/>
            </w:r>
            <w:r w:rsidR="000A764F" w:rsidRPr="00EF1E1E">
              <w:rPr>
                <w:rStyle w:val="Lienhypertexte"/>
                <w:b/>
                <w:caps/>
                <w:noProof/>
              </w:rPr>
              <w:t>RÉalisation de prestations similaires</w:t>
            </w:r>
            <w:r w:rsidR="000A764F">
              <w:rPr>
                <w:noProof/>
                <w:webHidden/>
              </w:rPr>
              <w:tab/>
            </w:r>
            <w:r w:rsidR="000A764F">
              <w:rPr>
                <w:noProof/>
                <w:webHidden/>
              </w:rPr>
              <w:fldChar w:fldCharType="begin"/>
            </w:r>
            <w:r w:rsidR="000A764F">
              <w:rPr>
                <w:noProof/>
                <w:webHidden/>
              </w:rPr>
              <w:instrText xml:space="preserve"> PAGEREF _Toc126922004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DC8107B" w14:textId="77777777" w:rsidR="000A764F" w:rsidRDefault="00E36056">
          <w:pPr>
            <w:pStyle w:val="TM1"/>
            <w:tabs>
              <w:tab w:val="left" w:pos="1540"/>
              <w:tab w:val="right" w:leader="dot" w:pos="9736"/>
            </w:tabs>
            <w:rPr>
              <w:rFonts w:asciiTheme="minorHAnsi" w:eastAsiaTheme="minorEastAsia" w:hAnsiTheme="minorHAnsi" w:cstheme="minorBidi"/>
              <w:noProof/>
              <w:sz w:val="22"/>
              <w:szCs w:val="22"/>
            </w:rPr>
          </w:pPr>
          <w:hyperlink w:anchor="_Toc126922005" w:history="1">
            <w:r w:rsidR="000A764F" w:rsidRPr="00EF1E1E">
              <w:rPr>
                <w:rStyle w:val="Lienhypertexte"/>
                <w:b/>
                <w:caps/>
                <w:noProof/>
              </w:rPr>
              <w:t>ARTICLE 9 :</w:t>
            </w:r>
            <w:r w:rsidR="000A764F">
              <w:rPr>
                <w:rFonts w:asciiTheme="minorHAnsi" w:eastAsiaTheme="minorEastAsia" w:hAnsiTheme="minorHAnsi" w:cstheme="minorBidi"/>
                <w:noProof/>
                <w:sz w:val="22"/>
                <w:szCs w:val="22"/>
              </w:rPr>
              <w:tab/>
            </w:r>
            <w:r w:rsidR="000A764F" w:rsidRPr="00EF1E1E">
              <w:rPr>
                <w:rStyle w:val="Lienhypertexte"/>
                <w:b/>
                <w:caps/>
                <w:noProof/>
              </w:rPr>
              <w:t>pÉnalitÉs</w:t>
            </w:r>
            <w:r w:rsidR="000A764F">
              <w:rPr>
                <w:noProof/>
                <w:webHidden/>
              </w:rPr>
              <w:tab/>
            </w:r>
            <w:r w:rsidR="000A764F">
              <w:rPr>
                <w:noProof/>
                <w:webHidden/>
              </w:rPr>
              <w:fldChar w:fldCharType="begin"/>
            </w:r>
            <w:r w:rsidR="000A764F">
              <w:rPr>
                <w:noProof/>
                <w:webHidden/>
              </w:rPr>
              <w:instrText xml:space="preserve"> PAGEREF _Toc126922005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F2D31EB" w14:textId="77777777" w:rsidR="000A764F" w:rsidRDefault="00E36056">
          <w:pPr>
            <w:pStyle w:val="TM2"/>
            <w:rPr>
              <w:noProof/>
            </w:rPr>
          </w:pPr>
          <w:hyperlink w:anchor="_Toc126922006" w:history="1">
            <w:r w:rsidR="000A764F" w:rsidRPr="00EF1E1E">
              <w:rPr>
                <w:rStyle w:val="Lienhypertexte"/>
                <w:noProof/>
              </w:rPr>
              <w:t>Pénalités sur livrables documentaires périodiques</w:t>
            </w:r>
            <w:r w:rsidR="000A764F">
              <w:rPr>
                <w:noProof/>
                <w:webHidden/>
              </w:rPr>
              <w:tab/>
            </w:r>
            <w:r w:rsidR="000A764F">
              <w:rPr>
                <w:noProof/>
                <w:webHidden/>
              </w:rPr>
              <w:fldChar w:fldCharType="begin"/>
            </w:r>
            <w:r w:rsidR="000A764F">
              <w:rPr>
                <w:noProof/>
                <w:webHidden/>
              </w:rPr>
              <w:instrText xml:space="preserve"> PAGEREF _Toc126922006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03E112AA" w14:textId="77777777" w:rsidR="000A764F" w:rsidRDefault="00E36056">
          <w:pPr>
            <w:pStyle w:val="TM2"/>
            <w:rPr>
              <w:noProof/>
            </w:rPr>
          </w:pPr>
          <w:hyperlink w:anchor="_Toc126922007" w:history="1">
            <w:r w:rsidR="000A764F" w:rsidRPr="00EF1E1E">
              <w:rPr>
                <w:rStyle w:val="Lienhypertexte"/>
                <w:noProof/>
              </w:rPr>
              <w:t>Pénalités sur remise d’un livrable final</w:t>
            </w:r>
            <w:r w:rsidR="000A764F">
              <w:rPr>
                <w:noProof/>
                <w:webHidden/>
              </w:rPr>
              <w:tab/>
            </w:r>
            <w:r w:rsidR="000A764F">
              <w:rPr>
                <w:noProof/>
                <w:webHidden/>
              </w:rPr>
              <w:fldChar w:fldCharType="begin"/>
            </w:r>
            <w:r w:rsidR="000A764F">
              <w:rPr>
                <w:noProof/>
                <w:webHidden/>
              </w:rPr>
              <w:instrText xml:space="preserve"> PAGEREF _Toc126922007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6C95B4D5" w14:textId="77777777" w:rsidR="000A764F" w:rsidRDefault="00E36056">
          <w:pPr>
            <w:pStyle w:val="TM1"/>
            <w:tabs>
              <w:tab w:val="left" w:pos="1540"/>
              <w:tab w:val="right" w:leader="dot" w:pos="9736"/>
            </w:tabs>
            <w:rPr>
              <w:rFonts w:asciiTheme="minorHAnsi" w:eastAsiaTheme="minorEastAsia" w:hAnsiTheme="minorHAnsi" w:cstheme="minorBidi"/>
              <w:noProof/>
              <w:sz w:val="22"/>
              <w:szCs w:val="22"/>
            </w:rPr>
          </w:pPr>
          <w:hyperlink w:anchor="_Toc126922008" w:history="1">
            <w:r w:rsidR="000A764F" w:rsidRPr="00EF1E1E">
              <w:rPr>
                <w:rStyle w:val="Lienhypertexte"/>
                <w:b/>
                <w:caps/>
                <w:noProof/>
              </w:rPr>
              <w:t>ARTICLE 10 :</w:t>
            </w:r>
            <w:r w:rsidR="000A764F">
              <w:rPr>
                <w:rFonts w:asciiTheme="minorHAnsi" w:eastAsiaTheme="minorEastAsia" w:hAnsiTheme="minorHAnsi" w:cstheme="minorBidi"/>
                <w:noProof/>
                <w:sz w:val="22"/>
                <w:szCs w:val="22"/>
              </w:rPr>
              <w:tab/>
            </w:r>
            <w:r w:rsidR="000A764F" w:rsidRPr="00EF1E1E">
              <w:rPr>
                <w:rStyle w:val="Lienhypertexte"/>
                <w:b/>
                <w:caps/>
                <w:noProof/>
              </w:rPr>
              <w:t>propriÉtÉ intellectuelle</w:t>
            </w:r>
            <w:r w:rsidR="000A764F">
              <w:rPr>
                <w:noProof/>
                <w:webHidden/>
              </w:rPr>
              <w:tab/>
            </w:r>
            <w:r w:rsidR="000A764F">
              <w:rPr>
                <w:noProof/>
                <w:webHidden/>
              </w:rPr>
              <w:fldChar w:fldCharType="begin"/>
            </w:r>
            <w:r w:rsidR="000A764F">
              <w:rPr>
                <w:noProof/>
                <w:webHidden/>
              </w:rPr>
              <w:instrText xml:space="preserve"> PAGEREF _Toc126922008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46474E9B" w14:textId="77777777" w:rsidR="000A764F" w:rsidRDefault="00E36056">
          <w:pPr>
            <w:pStyle w:val="TM2"/>
            <w:rPr>
              <w:noProof/>
            </w:rPr>
          </w:pPr>
          <w:hyperlink w:anchor="_Toc126922009" w:history="1">
            <w:r w:rsidR="000A764F" w:rsidRPr="00EF1E1E">
              <w:rPr>
                <w:rStyle w:val="Lienhypertexte"/>
                <w:noProof/>
              </w:rPr>
              <w:t>Définitions</w:t>
            </w:r>
            <w:r w:rsidR="000A764F">
              <w:rPr>
                <w:noProof/>
                <w:webHidden/>
              </w:rPr>
              <w:tab/>
            </w:r>
            <w:r w:rsidR="000A764F">
              <w:rPr>
                <w:noProof/>
                <w:webHidden/>
              </w:rPr>
              <w:fldChar w:fldCharType="begin"/>
            </w:r>
            <w:r w:rsidR="000A764F">
              <w:rPr>
                <w:noProof/>
                <w:webHidden/>
              </w:rPr>
              <w:instrText xml:space="preserve"> PAGEREF _Toc126922009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89F7AA2" w14:textId="77777777" w:rsidR="000A764F" w:rsidRDefault="00E36056">
          <w:pPr>
            <w:pStyle w:val="TM2"/>
            <w:rPr>
              <w:noProof/>
            </w:rPr>
          </w:pPr>
          <w:hyperlink w:anchor="_Toc126922010" w:history="1">
            <w:r w:rsidR="000A764F" w:rsidRPr="00EF1E1E">
              <w:rPr>
                <w:rStyle w:val="Lienhypertexte"/>
                <w:noProof/>
              </w:rPr>
              <w:t>Propriété des résultats</w:t>
            </w:r>
            <w:r w:rsidR="000A764F">
              <w:rPr>
                <w:noProof/>
                <w:webHidden/>
              </w:rPr>
              <w:tab/>
            </w:r>
            <w:r w:rsidR="000A764F">
              <w:rPr>
                <w:noProof/>
                <w:webHidden/>
              </w:rPr>
              <w:fldChar w:fldCharType="begin"/>
            </w:r>
            <w:r w:rsidR="000A764F">
              <w:rPr>
                <w:noProof/>
                <w:webHidden/>
              </w:rPr>
              <w:instrText xml:space="preserve"> PAGEREF _Toc126922010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59306906" w14:textId="77777777" w:rsidR="000A764F" w:rsidRDefault="00E36056">
          <w:pPr>
            <w:pStyle w:val="TM2"/>
            <w:rPr>
              <w:noProof/>
            </w:rPr>
          </w:pPr>
          <w:hyperlink w:anchor="_Toc126922011" w:history="1">
            <w:r w:rsidR="000A764F" w:rsidRPr="00EF1E1E">
              <w:rPr>
                <w:rStyle w:val="Lienhypertexte"/>
                <w:noProof/>
              </w:rPr>
              <w:t>Exploitation des résultats</w:t>
            </w:r>
            <w:r w:rsidR="000A764F">
              <w:rPr>
                <w:noProof/>
                <w:webHidden/>
              </w:rPr>
              <w:tab/>
            </w:r>
            <w:r w:rsidR="000A764F">
              <w:rPr>
                <w:noProof/>
                <w:webHidden/>
              </w:rPr>
              <w:fldChar w:fldCharType="begin"/>
            </w:r>
            <w:r w:rsidR="000A764F">
              <w:rPr>
                <w:noProof/>
                <w:webHidden/>
              </w:rPr>
              <w:instrText xml:space="preserve"> PAGEREF _Toc126922011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139F2A8" w14:textId="77777777" w:rsidR="000A764F" w:rsidRDefault="00E36056">
          <w:pPr>
            <w:pStyle w:val="TM2"/>
            <w:rPr>
              <w:noProof/>
            </w:rPr>
          </w:pPr>
          <w:hyperlink w:anchor="_Toc126922012" w:history="1">
            <w:r w:rsidR="000A764F" w:rsidRPr="00EF1E1E">
              <w:rPr>
                <w:rStyle w:val="Lienhypertexte"/>
                <w:noProof/>
              </w:rPr>
              <w:t>Licence sur les Droits Préexistants</w:t>
            </w:r>
            <w:r w:rsidR="000A764F">
              <w:rPr>
                <w:noProof/>
                <w:webHidden/>
              </w:rPr>
              <w:tab/>
            </w:r>
            <w:r w:rsidR="000A764F">
              <w:rPr>
                <w:noProof/>
                <w:webHidden/>
              </w:rPr>
              <w:fldChar w:fldCharType="begin"/>
            </w:r>
            <w:r w:rsidR="000A764F">
              <w:rPr>
                <w:noProof/>
                <w:webHidden/>
              </w:rPr>
              <w:instrText xml:space="preserve"> PAGEREF _Toc126922012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71EEAF4" w14:textId="77777777" w:rsidR="000A764F" w:rsidRDefault="00E36056">
          <w:pPr>
            <w:pStyle w:val="TM2"/>
            <w:rPr>
              <w:noProof/>
            </w:rPr>
          </w:pPr>
          <w:hyperlink w:anchor="_Toc126922013" w:history="1">
            <w:r w:rsidR="000A764F" w:rsidRPr="00EF1E1E">
              <w:rPr>
                <w:rStyle w:val="Lienhypertexte"/>
                <w:noProof/>
              </w:rPr>
              <w:t>Garanties</w:t>
            </w:r>
            <w:r w:rsidR="000A764F">
              <w:rPr>
                <w:noProof/>
                <w:webHidden/>
              </w:rPr>
              <w:tab/>
            </w:r>
            <w:r w:rsidR="000A764F">
              <w:rPr>
                <w:noProof/>
                <w:webHidden/>
              </w:rPr>
              <w:fldChar w:fldCharType="begin"/>
            </w:r>
            <w:r w:rsidR="000A764F">
              <w:rPr>
                <w:noProof/>
                <w:webHidden/>
              </w:rPr>
              <w:instrText xml:space="preserve"> PAGEREF _Toc126922013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82856E7" w14:textId="77777777" w:rsidR="000A764F" w:rsidRDefault="00E36056">
          <w:pPr>
            <w:pStyle w:val="TM2"/>
            <w:rPr>
              <w:noProof/>
            </w:rPr>
          </w:pPr>
          <w:hyperlink w:anchor="_Toc126922014" w:history="1">
            <w:r w:rsidR="000A764F" w:rsidRPr="00EF1E1E">
              <w:rPr>
                <w:rStyle w:val="Lienhypertexte"/>
                <w:noProof/>
              </w:rPr>
              <w:t>Droits à l’image</w:t>
            </w:r>
            <w:r w:rsidR="000A764F">
              <w:rPr>
                <w:noProof/>
                <w:webHidden/>
              </w:rPr>
              <w:tab/>
            </w:r>
            <w:r w:rsidR="000A764F">
              <w:rPr>
                <w:noProof/>
                <w:webHidden/>
              </w:rPr>
              <w:fldChar w:fldCharType="begin"/>
            </w:r>
            <w:r w:rsidR="000A764F">
              <w:rPr>
                <w:noProof/>
                <w:webHidden/>
              </w:rPr>
              <w:instrText xml:space="preserve"> PAGEREF _Toc126922014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E9AA19A" w14:textId="77777777" w:rsidR="000A764F" w:rsidRDefault="00E36056">
          <w:pPr>
            <w:pStyle w:val="TM1"/>
            <w:tabs>
              <w:tab w:val="left" w:pos="1540"/>
              <w:tab w:val="right" w:leader="dot" w:pos="9736"/>
            </w:tabs>
            <w:rPr>
              <w:rFonts w:asciiTheme="minorHAnsi" w:eastAsiaTheme="minorEastAsia" w:hAnsiTheme="minorHAnsi" w:cstheme="minorBidi"/>
              <w:noProof/>
              <w:sz w:val="22"/>
              <w:szCs w:val="22"/>
            </w:rPr>
          </w:pPr>
          <w:hyperlink w:anchor="_Toc126922015" w:history="1">
            <w:r w:rsidR="000A764F" w:rsidRPr="00EF1E1E">
              <w:rPr>
                <w:rStyle w:val="Lienhypertexte"/>
                <w:b/>
                <w:caps/>
                <w:noProof/>
              </w:rPr>
              <w:t>ARTICLE 11 :</w:t>
            </w:r>
            <w:r w:rsidR="000A764F">
              <w:rPr>
                <w:rFonts w:asciiTheme="minorHAnsi" w:eastAsiaTheme="minorEastAsia" w:hAnsiTheme="minorHAnsi" w:cstheme="minorBidi"/>
                <w:noProof/>
                <w:sz w:val="22"/>
                <w:szCs w:val="22"/>
              </w:rPr>
              <w:tab/>
            </w:r>
            <w:r w:rsidR="000A764F" w:rsidRPr="00EF1E1E">
              <w:rPr>
                <w:rStyle w:val="Lienhypertexte"/>
                <w:b/>
                <w:caps/>
                <w:noProof/>
              </w:rPr>
              <w:t>RÉsiliation du contrat</w:t>
            </w:r>
            <w:r w:rsidR="000A764F">
              <w:rPr>
                <w:noProof/>
                <w:webHidden/>
              </w:rPr>
              <w:tab/>
            </w:r>
            <w:r w:rsidR="000A764F">
              <w:rPr>
                <w:noProof/>
                <w:webHidden/>
              </w:rPr>
              <w:fldChar w:fldCharType="begin"/>
            </w:r>
            <w:r w:rsidR="000A764F">
              <w:rPr>
                <w:noProof/>
                <w:webHidden/>
              </w:rPr>
              <w:instrText xml:space="preserve"> PAGEREF _Toc126922015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6D3667EF" w14:textId="77777777" w:rsidR="000A764F" w:rsidRDefault="00E36056">
          <w:pPr>
            <w:pStyle w:val="TM2"/>
            <w:rPr>
              <w:noProof/>
            </w:rPr>
          </w:pPr>
          <w:hyperlink w:anchor="_Toc126922016" w:history="1">
            <w:r w:rsidR="000A764F" w:rsidRPr="00EF1E1E">
              <w:rPr>
                <w:rStyle w:val="Lienhypertexte"/>
                <w:rFonts w:cstheme="minorHAnsi"/>
                <w:noProof/>
              </w:rPr>
              <w:t>Modalités générales de résiliation</w:t>
            </w:r>
            <w:r w:rsidR="000A764F">
              <w:rPr>
                <w:noProof/>
                <w:webHidden/>
              </w:rPr>
              <w:tab/>
            </w:r>
            <w:r w:rsidR="000A764F">
              <w:rPr>
                <w:noProof/>
                <w:webHidden/>
              </w:rPr>
              <w:fldChar w:fldCharType="begin"/>
            </w:r>
            <w:r w:rsidR="000A764F">
              <w:rPr>
                <w:noProof/>
                <w:webHidden/>
              </w:rPr>
              <w:instrText xml:space="preserve"> PAGEREF _Toc126922016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B3E379B" w14:textId="77777777" w:rsidR="000A764F" w:rsidRDefault="00E36056">
          <w:pPr>
            <w:pStyle w:val="TM2"/>
            <w:rPr>
              <w:noProof/>
            </w:rPr>
          </w:pPr>
          <w:hyperlink w:anchor="_Toc126922017" w:history="1">
            <w:r w:rsidR="000A764F" w:rsidRPr="00EF1E1E">
              <w:rPr>
                <w:rStyle w:val="Lienhypertexte"/>
                <w:rFonts w:cstheme="minorHAnsi"/>
                <w:noProof/>
              </w:rPr>
              <w:t>Résiliation du contrat en cas d’indisponibilité de l’expert désigné</w:t>
            </w:r>
            <w:r w:rsidR="000A764F">
              <w:rPr>
                <w:noProof/>
                <w:webHidden/>
              </w:rPr>
              <w:tab/>
            </w:r>
            <w:r w:rsidR="000A764F">
              <w:rPr>
                <w:noProof/>
                <w:webHidden/>
              </w:rPr>
              <w:fldChar w:fldCharType="begin"/>
            </w:r>
            <w:r w:rsidR="000A764F">
              <w:rPr>
                <w:noProof/>
                <w:webHidden/>
              </w:rPr>
              <w:instrText xml:space="preserve"> PAGEREF _Toc126922017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7CE811D7" w14:textId="77777777" w:rsidR="000A764F" w:rsidRDefault="00E36056">
          <w:pPr>
            <w:pStyle w:val="TM2"/>
            <w:rPr>
              <w:noProof/>
            </w:rPr>
          </w:pPr>
          <w:hyperlink w:anchor="_Toc126922018" w:history="1">
            <w:r w:rsidR="000A764F" w:rsidRPr="00EF1E1E">
              <w:rPr>
                <w:rStyle w:val="Lienhypertexte"/>
                <w:rFonts w:cstheme="minorHAnsi"/>
                <w:noProof/>
              </w:rPr>
              <w:t>Procédure</w:t>
            </w:r>
            <w:r w:rsidR="000A764F">
              <w:rPr>
                <w:noProof/>
                <w:webHidden/>
              </w:rPr>
              <w:tab/>
            </w:r>
            <w:r w:rsidR="000A764F">
              <w:rPr>
                <w:noProof/>
                <w:webHidden/>
              </w:rPr>
              <w:fldChar w:fldCharType="begin"/>
            </w:r>
            <w:r w:rsidR="000A764F">
              <w:rPr>
                <w:noProof/>
                <w:webHidden/>
              </w:rPr>
              <w:instrText xml:space="preserve"> PAGEREF _Toc126922018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6E0171D1" w14:textId="77777777" w:rsidR="000A764F" w:rsidRDefault="00E36056">
          <w:pPr>
            <w:pStyle w:val="TM1"/>
            <w:tabs>
              <w:tab w:val="left" w:pos="1540"/>
              <w:tab w:val="right" w:leader="dot" w:pos="9736"/>
            </w:tabs>
            <w:rPr>
              <w:rFonts w:asciiTheme="minorHAnsi" w:eastAsiaTheme="minorEastAsia" w:hAnsiTheme="minorHAnsi" w:cstheme="minorBidi"/>
              <w:noProof/>
              <w:sz w:val="22"/>
              <w:szCs w:val="22"/>
            </w:rPr>
          </w:pPr>
          <w:hyperlink w:anchor="_Toc126922019" w:history="1">
            <w:r w:rsidR="000A764F" w:rsidRPr="00EF1E1E">
              <w:rPr>
                <w:rStyle w:val="Lienhypertexte"/>
                <w:b/>
                <w:caps/>
                <w:noProof/>
              </w:rPr>
              <w:t>ARTICLE 12 :</w:t>
            </w:r>
            <w:r w:rsidR="000A764F">
              <w:rPr>
                <w:rFonts w:asciiTheme="minorHAnsi" w:eastAsiaTheme="minorEastAsia" w:hAnsiTheme="minorHAnsi" w:cstheme="minorBidi"/>
                <w:noProof/>
                <w:sz w:val="22"/>
                <w:szCs w:val="22"/>
              </w:rPr>
              <w:tab/>
            </w:r>
            <w:r w:rsidR="000A764F" w:rsidRPr="00EF1E1E">
              <w:rPr>
                <w:rStyle w:val="Lienhypertexte"/>
                <w:b/>
                <w:caps/>
                <w:noProof/>
              </w:rPr>
              <w:t>Mesures et responsabilités en matière de sûreté et de sécurité</w:t>
            </w:r>
            <w:r w:rsidR="000A764F">
              <w:rPr>
                <w:noProof/>
                <w:webHidden/>
              </w:rPr>
              <w:tab/>
            </w:r>
            <w:r w:rsidR="000A764F">
              <w:rPr>
                <w:noProof/>
                <w:webHidden/>
              </w:rPr>
              <w:fldChar w:fldCharType="begin"/>
            </w:r>
            <w:r w:rsidR="000A764F">
              <w:rPr>
                <w:noProof/>
                <w:webHidden/>
              </w:rPr>
              <w:instrText xml:space="preserve"> PAGEREF _Toc126922019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87863EC" w14:textId="77777777" w:rsidR="000A764F" w:rsidRDefault="00E36056">
          <w:pPr>
            <w:pStyle w:val="TM1"/>
            <w:tabs>
              <w:tab w:val="left" w:pos="1540"/>
              <w:tab w:val="right" w:leader="dot" w:pos="9736"/>
            </w:tabs>
            <w:rPr>
              <w:rFonts w:asciiTheme="minorHAnsi" w:eastAsiaTheme="minorEastAsia" w:hAnsiTheme="minorHAnsi" w:cstheme="minorBidi"/>
              <w:noProof/>
              <w:sz w:val="22"/>
              <w:szCs w:val="22"/>
            </w:rPr>
          </w:pPr>
          <w:hyperlink w:anchor="_Toc126922020" w:history="1">
            <w:r w:rsidR="000A764F" w:rsidRPr="00EF1E1E">
              <w:rPr>
                <w:rStyle w:val="Lienhypertexte"/>
                <w:b/>
                <w:caps/>
                <w:noProof/>
              </w:rPr>
              <w:t>ARTICLE 13 :</w:t>
            </w:r>
            <w:r w:rsidR="000A764F">
              <w:rPr>
                <w:rFonts w:asciiTheme="minorHAnsi" w:eastAsiaTheme="minorEastAsia" w:hAnsiTheme="minorHAnsi" w:cstheme="minorBidi"/>
                <w:noProof/>
                <w:sz w:val="22"/>
                <w:szCs w:val="22"/>
              </w:rPr>
              <w:tab/>
            </w:r>
            <w:r w:rsidR="000A764F" w:rsidRPr="00EF1E1E">
              <w:rPr>
                <w:rStyle w:val="Lienhypertexte"/>
                <w:b/>
                <w:caps/>
                <w:noProof/>
              </w:rPr>
              <w:t>Éthique</w:t>
            </w:r>
            <w:r w:rsidR="000A764F">
              <w:rPr>
                <w:noProof/>
                <w:webHidden/>
              </w:rPr>
              <w:tab/>
            </w:r>
            <w:r w:rsidR="000A764F">
              <w:rPr>
                <w:noProof/>
                <w:webHidden/>
              </w:rPr>
              <w:fldChar w:fldCharType="begin"/>
            </w:r>
            <w:r w:rsidR="000A764F">
              <w:rPr>
                <w:noProof/>
                <w:webHidden/>
              </w:rPr>
              <w:instrText xml:space="preserve"> PAGEREF _Toc126922020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D9E3E75" w14:textId="77777777" w:rsidR="000A764F" w:rsidRDefault="00E36056">
          <w:pPr>
            <w:pStyle w:val="TM1"/>
            <w:tabs>
              <w:tab w:val="left" w:pos="1540"/>
              <w:tab w:val="right" w:leader="dot" w:pos="9736"/>
            </w:tabs>
            <w:rPr>
              <w:rFonts w:asciiTheme="minorHAnsi" w:eastAsiaTheme="minorEastAsia" w:hAnsiTheme="minorHAnsi" w:cstheme="minorBidi"/>
              <w:noProof/>
              <w:sz w:val="22"/>
              <w:szCs w:val="22"/>
            </w:rPr>
          </w:pPr>
          <w:hyperlink w:anchor="_Toc126922021" w:history="1">
            <w:r w:rsidR="000A764F" w:rsidRPr="00EF1E1E">
              <w:rPr>
                <w:rStyle w:val="Lienhypertexte"/>
                <w:b/>
                <w:caps/>
                <w:noProof/>
              </w:rPr>
              <w:t>ARTICLE 14 :</w:t>
            </w:r>
            <w:r w:rsidR="000A764F">
              <w:rPr>
                <w:rFonts w:asciiTheme="minorHAnsi" w:eastAsiaTheme="minorEastAsia" w:hAnsiTheme="minorHAnsi" w:cstheme="minorBidi"/>
                <w:noProof/>
                <w:sz w:val="22"/>
                <w:szCs w:val="22"/>
              </w:rPr>
              <w:tab/>
            </w:r>
            <w:r w:rsidR="000A764F" w:rsidRPr="00EF1E1E">
              <w:rPr>
                <w:rStyle w:val="Lienhypertexte"/>
                <w:b/>
                <w:caps/>
                <w:noProof/>
              </w:rPr>
              <w:t>Gestion des dONNÉES À cARACTÈRE PERSONNEL</w:t>
            </w:r>
            <w:r w:rsidR="000A764F">
              <w:rPr>
                <w:noProof/>
                <w:webHidden/>
              </w:rPr>
              <w:tab/>
            </w:r>
            <w:r w:rsidR="000A764F">
              <w:rPr>
                <w:noProof/>
                <w:webHidden/>
              </w:rPr>
              <w:fldChar w:fldCharType="begin"/>
            </w:r>
            <w:r w:rsidR="000A764F">
              <w:rPr>
                <w:noProof/>
                <w:webHidden/>
              </w:rPr>
              <w:instrText xml:space="preserve"> PAGEREF _Toc126922021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ACEF3A8" w14:textId="77777777" w:rsidR="000A764F" w:rsidRDefault="00E36056">
          <w:pPr>
            <w:pStyle w:val="TM1"/>
            <w:tabs>
              <w:tab w:val="left" w:pos="1540"/>
              <w:tab w:val="right" w:leader="dot" w:pos="9736"/>
            </w:tabs>
            <w:rPr>
              <w:rFonts w:asciiTheme="minorHAnsi" w:eastAsiaTheme="minorEastAsia" w:hAnsiTheme="minorHAnsi" w:cstheme="minorBidi"/>
              <w:noProof/>
              <w:sz w:val="22"/>
              <w:szCs w:val="22"/>
            </w:rPr>
          </w:pPr>
          <w:hyperlink w:anchor="_Toc126922022" w:history="1">
            <w:r w:rsidR="000A764F" w:rsidRPr="00EF1E1E">
              <w:rPr>
                <w:rStyle w:val="Lienhypertexte"/>
                <w:b/>
                <w:caps/>
                <w:noProof/>
              </w:rPr>
              <w:t>ARTICLE 15 :</w:t>
            </w:r>
            <w:r w:rsidR="000A764F">
              <w:rPr>
                <w:rFonts w:asciiTheme="minorHAnsi" w:eastAsiaTheme="minorEastAsia" w:hAnsiTheme="minorHAnsi" w:cstheme="minorBidi"/>
                <w:noProof/>
                <w:sz w:val="22"/>
                <w:szCs w:val="22"/>
              </w:rPr>
              <w:tab/>
            </w:r>
            <w:r w:rsidR="000A764F" w:rsidRPr="00EF1E1E">
              <w:rPr>
                <w:rStyle w:val="Lienhypertexte"/>
                <w:b/>
                <w:caps/>
                <w:noProof/>
              </w:rPr>
              <w:t>RÈglement des litiges - DROIT Français APPLICABLE</w:t>
            </w:r>
            <w:r w:rsidR="000A764F">
              <w:rPr>
                <w:noProof/>
                <w:webHidden/>
              </w:rPr>
              <w:tab/>
            </w:r>
            <w:r w:rsidR="000A764F">
              <w:rPr>
                <w:noProof/>
                <w:webHidden/>
              </w:rPr>
              <w:fldChar w:fldCharType="begin"/>
            </w:r>
            <w:r w:rsidR="000A764F">
              <w:rPr>
                <w:noProof/>
                <w:webHidden/>
              </w:rPr>
              <w:instrText xml:space="preserve"> PAGEREF _Toc126922022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066561E" w14:textId="77777777" w:rsidR="000A764F" w:rsidRDefault="00E36056">
          <w:pPr>
            <w:pStyle w:val="TM1"/>
            <w:tabs>
              <w:tab w:val="left" w:pos="1540"/>
              <w:tab w:val="right" w:leader="dot" w:pos="9736"/>
            </w:tabs>
            <w:rPr>
              <w:rFonts w:asciiTheme="minorHAnsi" w:eastAsiaTheme="minorEastAsia" w:hAnsiTheme="minorHAnsi" w:cstheme="minorBidi"/>
              <w:noProof/>
              <w:sz w:val="22"/>
              <w:szCs w:val="22"/>
            </w:rPr>
          </w:pPr>
          <w:hyperlink w:anchor="_Toc126922023" w:history="1">
            <w:r w:rsidR="000A764F" w:rsidRPr="00EF1E1E">
              <w:rPr>
                <w:rStyle w:val="Lienhypertexte"/>
                <w:b/>
                <w:caps/>
                <w:noProof/>
              </w:rPr>
              <w:t>ARTICLE 16 :</w:t>
            </w:r>
            <w:r w:rsidR="000A764F">
              <w:rPr>
                <w:rFonts w:asciiTheme="minorHAnsi" w:eastAsiaTheme="minorEastAsia" w:hAnsiTheme="minorHAnsi" w:cstheme="minorBidi"/>
                <w:noProof/>
                <w:sz w:val="22"/>
                <w:szCs w:val="22"/>
              </w:rPr>
              <w:tab/>
            </w:r>
            <w:r w:rsidR="000A764F" w:rsidRPr="00EF1E1E">
              <w:rPr>
                <w:rStyle w:val="Lienhypertexte"/>
                <w:b/>
                <w:caps/>
                <w:noProof/>
              </w:rPr>
              <w:t>DÉrogationS au CCAG</w:t>
            </w:r>
            <w:r w:rsidR="000A764F">
              <w:rPr>
                <w:noProof/>
                <w:webHidden/>
              </w:rPr>
              <w:tab/>
            </w:r>
            <w:r w:rsidR="000A764F">
              <w:rPr>
                <w:noProof/>
                <w:webHidden/>
              </w:rPr>
              <w:fldChar w:fldCharType="begin"/>
            </w:r>
            <w:r w:rsidR="000A764F">
              <w:rPr>
                <w:noProof/>
                <w:webHidden/>
              </w:rPr>
              <w:instrText xml:space="preserve"> PAGEREF _Toc126922023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71026774" w14:textId="77777777" w:rsidR="000A764F" w:rsidRDefault="00E36056">
          <w:pPr>
            <w:pStyle w:val="TM1"/>
            <w:tabs>
              <w:tab w:val="left" w:pos="1540"/>
              <w:tab w:val="right" w:leader="dot" w:pos="9736"/>
            </w:tabs>
            <w:rPr>
              <w:rFonts w:asciiTheme="minorHAnsi" w:eastAsiaTheme="minorEastAsia" w:hAnsiTheme="minorHAnsi" w:cstheme="minorBidi"/>
              <w:noProof/>
              <w:sz w:val="22"/>
              <w:szCs w:val="22"/>
            </w:rPr>
          </w:pPr>
          <w:hyperlink w:anchor="_Toc126922024" w:history="1">
            <w:r w:rsidR="000A764F" w:rsidRPr="00EF1E1E">
              <w:rPr>
                <w:rStyle w:val="Lienhypertexte"/>
                <w:b/>
                <w:caps/>
                <w:noProof/>
              </w:rPr>
              <w:t>ARTICLE 17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finales</w:t>
            </w:r>
            <w:r w:rsidR="000A764F">
              <w:rPr>
                <w:noProof/>
                <w:webHidden/>
              </w:rPr>
              <w:tab/>
            </w:r>
            <w:r w:rsidR="000A764F">
              <w:rPr>
                <w:noProof/>
                <w:webHidden/>
              </w:rPr>
              <w:fldChar w:fldCharType="begin"/>
            </w:r>
            <w:r w:rsidR="000A764F">
              <w:rPr>
                <w:noProof/>
                <w:webHidden/>
              </w:rPr>
              <w:instrText xml:space="preserve"> PAGEREF _Toc126922024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447D3F1" w14:textId="77777777" w:rsidR="000A764F" w:rsidRDefault="00E36056">
          <w:pPr>
            <w:pStyle w:val="TM2"/>
            <w:rPr>
              <w:noProof/>
            </w:rPr>
          </w:pPr>
          <w:hyperlink w:anchor="_Toc126922025" w:history="1">
            <w:r w:rsidR="000A764F" w:rsidRPr="00EF1E1E">
              <w:rPr>
                <w:rStyle w:val="Lienhypertexte"/>
                <w:noProof/>
              </w:rPr>
              <w:t>Déclaration</w:t>
            </w:r>
            <w:r w:rsidR="000A764F">
              <w:rPr>
                <w:noProof/>
                <w:webHidden/>
              </w:rPr>
              <w:tab/>
            </w:r>
            <w:r w:rsidR="000A764F">
              <w:rPr>
                <w:noProof/>
                <w:webHidden/>
              </w:rPr>
              <w:fldChar w:fldCharType="begin"/>
            </w:r>
            <w:r w:rsidR="000A764F">
              <w:rPr>
                <w:noProof/>
                <w:webHidden/>
              </w:rPr>
              <w:instrText xml:space="preserve"> PAGEREF _Toc126922025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529A7DB8" w14:textId="77777777" w:rsidR="000A764F" w:rsidRDefault="00E36056">
          <w:pPr>
            <w:pStyle w:val="TM1"/>
            <w:tabs>
              <w:tab w:val="right" w:leader="dot" w:pos="9736"/>
            </w:tabs>
            <w:rPr>
              <w:rFonts w:asciiTheme="minorHAnsi" w:eastAsiaTheme="minorEastAsia" w:hAnsiTheme="minorHAnsi" w:cstheme="minorBidi"/>
              <w:noProof/>
              <w:sz w:val="22"/>
              <w:szCs w:val="22"/>
            </w:rPr>
          </w:pPr>
          <w:hyperlink w:anchor="_Toc126922026" w:history="1">
            <w:r w:rsidR="000A764F" w:rsidRPr="00EF1E1E">
              <w:rPr>
                <w:rStyle w:val="Lienhypertexte"/>
                <w:b/>
                <w:caps/>
                <w:noProof/>
              </w:rPr>
              <w:t>Annexe 1 : Cahier des charges</w:t>
            </w:r>
            <w:r w:rsidR="000A764F">
              <w:rPr>
                <w:noProof/>
                <w:webHidden/>
              </w:rPr>
              <w:tab/>
            </w:r>
            <w:r w:rsidR="000A764F">
              <w:rPr>
                <w:noProof/>
                <w:webHidden/>
              </w:rPr>
              <w:fldChar w:fldCharType="begin"/>
            </w:r>
            <w:r w:rsidR="000A764F">
              <w:rPr>
                <w:noProof/>
                <w:webHidden/>
              </w:rPr>
              <w:instrText xml:space="preserve"> PAGEREF _Toc126922026 \h </w:instrText>
            </w:r>
            <w:r w:rsidR="000A764F">
              <w:rPr>
                <w:noProof/>
                <w:webHidden/>
              </w:rPr>
            </w:r>
            <w:r w:rsidR="000A764F">
              <w:rPr>
                <w:noProof/>
                <w:webHidden/>
              </w:rPr>
              <w:fldChar w:fldCharType="separate"/>
            </w:r>
            <w:r w:rsidR="000A764F">
              <w:rPr>
                <w:noProof/>
                <w:webHidden/>
              </w:rPr>
              <w:t>28</w:t>
            </w:r>
            <w:r w:rsidR="000A764F">
              <w:rPr>
                <w:noProof/>
                <w:webHidden/>
              </w:rPr>
              <w:fldChar w:fldCharType="end"/>
            </w:r>
          </w:hyperlink>
        </w:p>
        <w:p w14:paraId="4F3A5836" w14:textId="77777777"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even" r:id="rId10"/>
          <w:headerReference w:type="default" r:id="rId11"/>
          <w:footerReference w:type="even" r:id="rId12"/>
          <w:footerReference w:type="default" r:id="rId13"/>
          <w:headerReference w:type="first" r:id="rId14"/>
          <w:footerReference w:type="first" r:id="rId15"/>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126921968"/>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496A83A3" w:rsidR="00DE1070" w:rsidRPr="004E0874" w:rsidRDefault="006A10E4"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w:t>
            </w:r>
            <w:r w:rsidR="00DE1070" w:rsidRPr="00A86E43">
              <w:rPr>
                <w:rFonts w:asciiTheme="minorHAnsi" w:hAnsiTheme="minorHAnsi" w:cs="Arial"/>
                <w:b/>
                <w:bCs/>
                <w:sz w:val="22"/>
                <w:u w:val="single"/>
              </w:rPr>
              <w:t xml:space="preserv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1648D85D" w:rsidR="00DE1070" w:rsidRPr="00A86E43" w:rsidRDefault="006A10E4"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w:t>
      </w:r>
      <w:r w:rsidR="00DE1070" w:rsidRPr="00A86E43">
        <w:rPr>
          <w:rFonts w:asciiTheme="minorHAnsi" w:hAnsiTheme="minorHAnsi" w:cs="Arial"/>
          <w:b/>
          <w:bCs/>
          <w:sz w:val="22"/>
        </w:rPr>
        <w: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5936AE">
              <w:rPr>
                <w:rFonts w:ascii="Calibri" w:hAnsi="Calibri"/>
                <w:b/>
              </w:rPr>
              <w:t xml:space="preserve">NOM DU </w:t>
            </w:r>
            <w:r w:rsidR="003A0706" w:rsidRPr="003A0706">
              <w:rPr>
                <w:rFonts w:ascii="Calibri" w:hAnsi="Calibri"/>
                <w:b/>
                <w:smallCaps/>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03A11A97" w:rsidR="00DE1070" w:rsidRPr="00A86E43" w:rsidRDefault="006A10E4" w:rsidP="00DE1070">
            <w:pPr>
              <w:jc w:val="both"/>
              <w:rPr>
                <w:rFonts w:asciiTheme="minorHAnsi" w:hAnsiTheme="minorHAnsi" w:cs="Arial"/>
                <w:b/>
                <w:bCs/>
                <w:sz w:val="22"/>
                <w:u w:val="single"/>
              </w:rPr>
            </w:pPr>
            <w:r w:rsidRPr="00A86E43">
              <w:rPr>
                <w:rFonts w:asciiTheme="minorHAnsi" w:hAnsiTheme="minorHAnsi" w:cs="Arial"/>
                <w:b/>
                <w:bCs/>
                <w:sz w:val="22"/>
                <w:u w:val="single"/>
              </w:rPr>
              <w:t>D’autre</w:t>
            </w:r>
            <w:r w:rsidR="00DE1070" w:rsidRPr="00A86E43">
              <w:rPr>
                <w:rFonts w:asciiTheme="minorHAnsi" w:hAnsiTheme="minorHAnsi" w:cs="Arial"/>
                <w:b/>
                <w:bCs/>
                <w:sz w:val="22"/>
                <w:u w:val="single"/>
              </w:rPr>
              <w:t xml:space="preserv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5AFD5214" w:rsidR="00416A7A" w:rsidRPr="00A86E43" w:rsidRDefault="00DE1070" w:rsidP="00416A7A">
      <w:pPr>
        <w:spacing w:before="120"/>
        <w:jc w:val="both"/>
        <w:rPr>
          <w:rFonts w:asciiTheme="minorHAnsi" w:hAnsiTheme="minorHAnsi" w:cs="Arial"/>
          <w:sz w:val="22"/>
        </w:rPr>
      </w:pPr>
      <w:r w:rsidRPr="00DB700E">
        <w:rPr>
          <w:rFonts w:asciiTheme="minorHAnsi" w:hAnsiTheme="minorHAnsi" w:cs="Arial"/>
          <w:sz w:val="22"/>
        </w:rPr>
        <w:t xml:space="preserve">Dans le cadre du projet de coopération </w:t>
      </w:r>
      <w:r w:rsidRPr="00F52FB0">
        <w:rPr>
          <w:rFonts w:asciiTheme="minorHAnsi" w:hAnsiTheme="minorHAnsi" w:cs="Arial"/>
          <w:sz w:val="22"/>
        </w:rPr>
        <w:t>ci-après dénommé le « </w:t>
      </w:r>
      <w:r w:rsidRPr="00F52FB0">
        <w:rPr>
          <w:rFonts w:asciiTheme="minorHAnsi" w:hAnsiTheme="minorHAnsi" w:cs="Arial"/>
          <w:smallCaps/>
          <w:sz w:val="22"/>
        </w:rPr>
        <w:t>contrat principal »</w:t>
      </w:r>
      <w:r w:rsidRPr="00F52FB0">
        <w:rPr>
          <w:rFonts w:asciiTheme="minorHAnsi" w:hAnsiTheme="minorHAnsi" w:cs="Arial"/>
          <w:sz w:val="22"/>
        </w:rPr>
        <w:t xml:space="preserve"> </w:t>
      </w:r>
      <w:r w:rsidR="00DD6625" w:rsidRPr="00F52FB0">
        <w:rPr>
          <w:rFonts w:asciiTheme="minorHAnsi" w:hAnsiTheme="minorHAnsi" w:cs="Arial"/>
          <w:sz w:val="22"/>
        </w:rPr>
        <w:t xml:space="preserve">(contrat bailleur) </w:t>
      </w:r>
      <w:r w:rsidRPr="00F52FB0">
        <w:rPr>
          <w:rFonts w:asciiTheme="minorHAnsi" w:hAnsiTheme="minorHAnsi" w:cs="Arial"/>
          <w:sz w:val="22"/>
        </w:rPr>
        <w:t xml:space="preserve">signé le </w:t>
      </w:r>
      <w:r w:rsidR="00F52FB0" w:rsidRPr="006A10E4">
        <w:rPr>
          <w:rFonts w:asciiTheme="minorHAnsi" w:hAnsiTheme="minorHAnsi" w:cs="Arial"/>
          <w:i/>
          <w:sz w:val="22"/>
        </w:rPr>
        <w:t xml:space="preserve">01.02.2024 </w:t>
      </w:r>
      <w:r w:rsidRPr="00F52FB0">
        <w:rPr>
          <w:rFonts w:asciiTheme="minorHAnsi" w:hAnsiTheme="minorHAnsi" w:cs="Arial"/>
          <w:sz w:val="22"/>
        </w:rPr>
        <w:t xml:space="preserve">entre </w:t>
      </w:r>
      <w:r w:rsidR="00F52FB0" w:rsidRPr="00F52FB0">
        <w:rPr>
          <w:rFonts w:asciiTheme="minorHAnsi" w:hAnsiTheme="minorHAnsi" w:cstheme="minorHAnsi"/>
          <w:sz w:val="22"/>
          <w:szCs w:val="22"/>
        </w:rPr>
        <w:t>la Délégation de l’Union Européenne en République Démocratique du Congo</w:t>
      </w:r>
      <w:r w:rsidR="00F52FB0" w:rsidRPr="00F52FB0">
        <w:rPr>
          <w:rFonts w:asciiTheme="minorHAnsi" w:hAnsiTheme="minorHAnsi" w:cs="Arial"/>
          <w:i/>
          <w:sz w:val="22"/>
        </w:rPr>
        <w:t xml:space="preserve"> </w:t>
      </w:r>
      <w:r w:rsidRPr="00F52FB0">
        <w:rPr>
          <w:rFonts w:asciiTheme="minorHAnsi" w:hAnsiTheme="minorHAnsi" w:cs="Arial"/>
          <w:sz w:val="22"/>
        </w:rPr>
        <w:t>et</w:t>
      </w:r>
      <w:r w:rsidR="00F52FB0" w:rsidRPr="00F52FB0">
        <w:rPr>
          <w:rFonts w:asciiTheme="minorHAnsi" w:hAnsiTheme="minorHAnsi" w:cs="Arial"/>
          <w:sz w:val="22"/>
        </w:rPr>
        <w:t xml:space="preserve"> </w:t>
      </w:r>
      <w:r w:rsidR="00F52FB0" w:rsidRPr="00F52FB0">
        <w:rPr>
          <w:rFonts w:asciiTheme="minorHAnsi" w:hAnsiTheme="minorHAnsi" w:cs="Arial"/>
          <w:smallCaps/>
          <w:sz w:val="22"/>
        </w:rPr>
        <w:t>Expertise</w:t>
      </w:r>
      <w:r w:rsidR="00F52FB0" w:rsidRPr="00CE73DB">
        <w:rPr>
          <w:rFonts w:asciiTheme="minorHAnsi" w:hAnsiTheme="minorHAnsi" w:cs="Arial"/>
          <w:smallCaps/>
          <w:sz w:val="22"/>
        </w:rPr>
        <w:t xml:space="preserve"> France</w:t>
      </w:r>
      <w:r w:rsidRPr="00A86E43">
        <w:rPr>
          <w:rFonts w:asciiTheme="minorHAnsi" w:hAnsiTheme="minorHAnsi" w:cs="Arial"/>
          <w:sz w:val="22"/>
        </w:rPr>
        <w:t>, portant sur « </w:t>
      </w:r>
      <w:r w:rsidR="00F52FB0" w:rsidRPr="00CE73DB">
        <w:rPr>
          <w:rFonts w:asciiTheme="minorHAnsi" w:hAnsiTheme="minorHAnsi" w:cs="Arial"/>
          <w:smallCaps/>
          <w:sz w:val="22"/>
        </w:rPr>
        <w:t xml:space="preserve">Expertise France </w:t>
      </w:r>
      <w:r w:rsidRPr="00A86E43">
        <w:rPr>
          <w:rFonts w:asciiTheme="minorHAnsi" w:hAnsiTheme="minorHAnsi" w:cs="Arial"/>
          <w:sz w:val="22"/>
        </w:rPr>
        <w:t xml:space="preserve">», </w:t>
      </w:r>
      <w:r w:rsidR="00E114AE" w:rsidRPr="00CE73DB">
        <w:rPr>
          <w:rFonts w:asciiTheme="minorHAnsi" w:hAnsiTheme="minorHAnsi" w:cs="Arial"/>
          <w:smallCaps/>
          <w:sz w:val="22"/>
        </w:rPr>
        <w:t>Expertise France</w:t>
      </w:r>
      <w:r w:rsidR="00CE73DB" w:rsidRPr="00CE73DB">
        <w:rPr>
          <w:rFonts w:asciiTheme="minorHAnsi" w:hAnsiTheme="minorHAnsi" w:cs="Arial"/>
          <w:smallCaps/>
          <w:sz w:val="22"/>
        </w:rPr>
        <w:t xml:space="preserve"> </w:t>
      </w:r>
      <w:r w:rsidRPr="00A86E43">
        <w:rPr>
          <w:rFonts w:asciiTheme="minorHAnsi" w:hAnsiTheme="minorHAnsi" w:cs="Arial"/>
          <w:sz w:val="22"/>
        </w:rPr>
        <w:t xml:space="preserve">demande au </w:t>
      </w:r>
      <w:r w:rsidR="00AA21AB" w:rsidRPr="003A0706">
        <w:rPr>
          <w:rFonts w:asciiTheme="minorHAnsi" w:hAnsiTheme="minorHAnsi" w:cs="Arial"/>
          <w:smallCaps/>
          <w:sz w:val="22"/>
        </w:rPr>
        <w:t>Contractant</w:t>
      </w:r>
      <w:r w:rsidRPr="00A86E43">
        <w:rPr>
          <w:rFonts w:asciiTheme="minorHAnsi" w:hAnsiTheme="minorHAnsi" w:cs="Arial"/>
          <w:sz w:val="22"/>
        </w:rPr>
        <w:t xml:space="preserve"> qui l’accepte, de réaliser au titre du présent </w:t>
      </w:r>
      <w:r w:rsidRPr="00A86E43">
        <w:rPr>
          <w:rFonts w:asciiTheme="minorHAnsi" w:hAnsiTheme="minorHAnsi" w:cs="Arial"/>
          <w:smallCaps/>
          <w:sz w:val="22"/>
        </w:rPr>
        <w:t xml:space="preserve">Contrat </w:t>
      </w:r>
      <w:r w:rsidRPr="00A86E43">
        <w:rPr>
          <w:rFonts w:asciiTheme="minorHAnsi" w:hAnsiTheme="minorHAnsi" w:cs="Arial"/>
          <w:sz w:val="22"/>
        </w:rPr>
        <w:t>les prestations et de livrer les fournitures décrites dans l’annexe technique jointe « Cahier des charges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126921969"/>
      <w:r w:rsidRPr="00A86E43">
        <w:rPr>
          <w:rFonts w:asciiTheme="minorHAnsi" w:hAnsiTheme="minorHAnsi"/>
          <w:b/>
          <w:caps/>
          <w:sz w:val="24"/>
          <w:u w:val="single"/>
        </w:rPr>
        <w:lastRenderedPageBreak/>
        <w:t>Objet du contrat</w:t>
      </w:r>
      <w:bookmarkEnd w:id="5"/>
    </w:p>
    <w:p w14:paraId="34E60E59" w14:textId="330CDA5A" w:rsidR="000A6E96" w:rsidRPr="00A86E43" w:rsidRDefault="00E551F2" w:rsidP="003E0766">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AC48DD" w:rsidRPr="00A86E43">
        <w:rPr>
          <w:rFonts w:asciiTheme="minorHAnsi" w:hAnsiTheme="minorHAnsi" w:cs="Arial"/>
        </w:rPr>
        <w:t>« </w:t>
      </w:r>
      <w:r w:rsidR="00F52FB0">
        <w:rPr>
          <w:rFonts w:asciiTheme="minorHAnsi" w:hAnsiTheme="minorHAnsi" w:cs="Calibri"/>
          <w:szCs w:val="22"/>
        </w:rPr>
        <w:t>un a</w:t>
      </w:r>
      <w:r w:rsidR="00F52FB0" w:rsidRPr="00501526">
        <w:rPr>
          <w:rFonts w:asciiTheme="minorHAnsi" w:hAnsiTheme="minorHAnsi" w:cs="Calibri"/>
          <w:i/>
          <w:szCs w:val="22"/>
        </w:rPr>
        <w:t>ppui au renforcement des ressources humaines de</w:t>
      </w:r>
      <w:r w:rsidR="00F52FB0">
        <w:rPr>
          <w:rFonts w:asciiTheme="minorHAnsi" w:hAnsiTheme="minorHAnsi" w:cs="Calibri"/>
          <w:i/>
          <w:szCs w:val="22"/>
        </w:rPr>
        <w:t xml:space="preserve"> l’Institut Congolais de Conservation de la Nature (ICCN) et de l’Institut National d’Etudes et de Recherche Agronomique (INERA), tou</w:t>
      </w:r>
      <w:r w:rsidR="00F52FB0" w:rsidRPr="00501526">
        <w:rPr>
          <w:rFonts w:asciiTheme="minorHAnsi" w:hAnsiTheme="minorHAnsi" w:cs="Calibri"/>
          <w:i/>
          <w:szCs w:val="22"/>
        </w:rPr>
        <w:t xml:space="preserve">s </w:t>
      </w:r>
      <w:r w:rsidR="00F52FB0">
        <w:rPr>
          <w:rFonts w:asciiTheme="minorHAnsi" w:hAnsiTheme="minorHAnsi" w:cs="Calibri"/>
          <w:i/>
          <w:szCs w:val="22"/>
        </w:rPr>
        <w:t xml:space="preserve">deux </w:t>
      </w:r>
      <w:r w:rsidR="00F52FB0" w:rsidRPr="00501526">
        <w:rPr>
          <w:rFonts w:asciiTheme="minorHAnsi" w:hAnsiTheme="minorHAnsi" w:cs="Calibri"/>
          <w:i/>
          <w:szCs w:val="22"/>
        </w:rPr>
        <w:t>partenaires institutionnels de l’A</w:t>
      </w:r>
      <w:r w:rsidR="00F52FB0">
        <w:rPr>
          <w:rFonts w:asciiTheme="minorHAnsi" w:hAnsiTheme="minorHAnsi" w:cs="Calibri"/>
          <w:i/>
          <w:szCs w:val="22"/>
        </w:rPr>
        <w:t xml:space="preserve">lliance pour le </w:t>
      </w:r>
      <w:r w:rsidR="00F52FB0" w:rsidRPr="00501526">
        <w:rPr>
          <w:rFonts w:asciiTheme="minorHAnsi" w:hAnsiTheme="minorHAnsi" w:cs="Calibri"/>
          <w:i/>
          <w:szCs w:val="22"/>
        </w:rPr>
        <w:t>D</w:t>
      </w:r>
      <w:r w:rsidR="00F52FB0">
        <w:rPr>
          <w:rFonts w:asciiTheme="minorHAnsi" w:hAnsiTheme="minorHAnsi" w:cs="Calibri"/>
          <w:i/>
          <w:szCs w:val="22"/>
        </w:rPr>
        <w:t xml:space="preserve">éveloppement </w:t>
      </w:r>
      <w:r w:rsidR="00E36056" w:rsidRPr="00501526">
        <w:rPr>
          <w:rFonts w:asciiTheme="minorHAnsi" w:hAnsiTheme="minorHAnsi" w:cs="Calibri"/>
          <w:i/>
          <w:szCs w:val="22"/>
        </w:rPr>
        <w:t>D</w:t>
      </w:r>
      <w:r w:rsidR="00E36056">
        <w:rPr>
          <w:rFonts w:asciiTheme="minorHAnsi" w:hAnsiTheme="minorHAnsi" w:cs="Calibri"/>
          <w:i/>
          <w:szCs w:val="22"/>
        </w:rPr>
        <w:t>urable</w:t>
      </w:r>
      <w:r w:rsidR="00E36056" w:rsidRPr="00A86E43">
        <w:rPr>
          <w:rFonts w:asciiTheme="minorHAnsi" w:hAnsiTheme="minorHAnsi" w:cs="Arial"/>
        </w:rPr>
        <w:t xml:space="preserve"> »</w:t>
      </w:r>
      <w:r w:rsidR="00DE0E61" w:rsidRPr="00A86E43">
        <w:rPr>
          <w:rFonts w:asciiTheme="minorHAnsi" w:hAnsiTheme="minorHAnsi" w:cs="Arial"/>
        </w:rPr>
        <w:t>.</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126921970"/>
      <w:r w:rsidRPr="00A86E43">
        <w:rPr>
          <w:rFonts w:asciiTheme="minorHAnsi" w:hAnsiTheme="minorHAnsi"/>
          <w:b/>
          <w:caps/>
          <w:sz w:val="24"/>
          <w:u w:val="single"/>
        </w:rPr>
        <w:t>Documents contractuels</w:t>
      </w:r>
      <w:bookmarkEnd w:id="6"/>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0F217B5A" w:rsidR="00656639" w:rsidRPr="00A86E43" w:rsidRDefault="00E36056"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Le</w:t>
      </w:r>
      <w:r w:rsidR="00E551F2" w:rsidRPr="00A86E43">
        <w:rPr>
          <w:rFonts w:asciiTheme="minorHAnsi" w:hAnsiTheme="minorHAnsi" w:cstheme="minorHAnsi"/>
          <w:szCs w:val="22"/>
        </w:rPr>
        <w:t xml:space="preserve"> présent document</w:t>
      </w:r>
      <w:r w:rsidR="00E33FDA" w:rsidRPr="00A86E43">
        <w:rPr>
          <w:rFonts w:asciiTheme="minorHAnsi" w:hAnsiTheme="minorHAnsi" w:cstheme="minorHAnsi"/>
          <w:szCs w:val="22"/>
        </w:rPr>
        <w:t>, et ses annexes :</w:t>
      </w:r>
    </w:p>
    <w:p w14:paraId="2AD3DBAD" w14:textId="1285D835" w:rsidR="00656639" w:rsidRPr="00A86E43" w:rsidRDefault="00E36056"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L’annexe</w:t>
      </w:r>
      <w:r w:rsidR="00E551F2" w:rsidRPr="00A86E43">
        <w:rPr>
          <w:rFonts w:asciiTheme="minorHAnsi" w:hAnsiTheme="minorHAnsi" w:cstheme="minorHAnsi"/>
          <w:szCs w:val="22"/>
        </w:rPr>
        <w:t xml:space="preserv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1C9F58D6" w14:textId="77777777" w:rsidR="00C973C2" w:rsidRPr="00A86E43"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6"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670F2378" w14:textId="257FE86A" w:rsidR="00663C0B" w:rsidRPr="00F52FB0" w:rsidRDefault="00663C0B" w:rsidP="006A10E4">
      <w:pPr>
        <w:pStyle w:val="w"/>
        <w:widowControl w:val="0"/>
        <w:numPr>
          <w:ilvl w:val="0"/>
          <w:numId w:val="10"/>
        </w:numPr>
        <w:tabs>
          <w:tab w:val="clear" w:pos="994"/>
        </w:tabs>
        <w:spacing w:before="120"/>
        <w:ind w:left="1701"/>
        <w:jc w:val="left"/>
        <w:rPr>
          <w:rFonts w:asciiTheme="minorHAnsi" w:hAnsiTheme="minorHAnsi" w:cstheme="minorHAnsi"/>
          <w:szCs w:val="22"/>
        </w:rPr>
      </w:pPr>
      <w:r w:rsidRPr="00F52FB0">
        <w:rPr>
          <w:rFonts w:asciiTheme="minorHAnsi" w:hAnsiTheme="minorHAnsi" w:cstheme="minorHAnsi"/>
          <w:szCs w:val="22"/>
        </w:rPr>
        <w:t xml:space="preserve">Annexe contractuelle </w:t>
      </w:r>
      <w:r w:rsidR="008474F9" w:rsidRPr="00F52FB0">
        <w:rPr>
          <w:rFonts w:asciiTheme="minorHAnsi" w:hAnsiTheme="minorHAnsi" w:cstheme="minorHAnsi"/>
          <w:szCs w:val="22"/>
        </w:rPr>
        <w:t>(DAJ_</w:t>
      </w:r>
      <w:r w:rsidR="00F843EC" w:rsidRPr="00F52FB0">
        <w:rPr>
          <w:rFonts w:asciiTheme="minorHAnsi" w:hAnsiTheme="minorHAnsi" w:cstheme="minorHAnsi"/>
          <w:szCs w:val="22"/>
        </w:rPr>
        <w:t>M050</w:t>
      </w:r>
      <w:r w:rsidR="008474F9" w:rsidRPr="00F52FB0">
        <w:rPr>
          <w:rFonts w:asciiTheme="minorHAnsi" w:hAnsiTheme="minorHAnsi" w:cstheme="minorHAnsi"/>
          <w:szCs w:val="22"/>
        </w:rPr>
        <w:t xml:space="preserve">) </w:t>
      </w:r>
      <w:r w:rsidRPr="00F52FB0">
        <w:rPr>
          <w:rFonts w:asciiTheme="minorHAnsi" w:hAnsiTheme="minorHAnsi" w:cstheme="minorHAnsi"/>
          <w:szCs w:val="22"/>
        </w:rPr>
        <w:t>portant sur le traitement de données personnelles en cas de sous-traitance RGPD (collecte de données personnelles au nom d’</w:t>
      </w:r>
      <w:r w:rsidR="00AA21AB" w:rsidRPr="00F52FB0">
        <w:rPr>
          <w:rFonts w:asciiTheme="minorHAnsi" w:hAnsiTheme="minorHAnsi" w:cstheme="minorHAnsi"/>
          <w:smallCaps/>
          <w:szCs w:val="22"/>
        </w:rPr>
        <w:t>Expertise France</w:t>
      </w:r>
      <w:r w:rsidRPr="00F52FB0">
        <w:rPr>
          <w:rFonts w:asciiTheme="minorHAnsi" w:hAnsiTheme="minorHAnsi" w:cstheme="minorHAnsi"/>
          <w:szCs w:val="22"/>
        </w:rPr>
        <w:t xml:space="preserve">) </w:t>
      </w:r>
    </w:p>
    <w:p w14:paraId="4AD0908E" w14:textId="58AF381C" w:rsidR="00996FEA" w:rsidRPr="00F52FB0" w:rsidRDefault="00BC5A69" w:rsidP="002E7338">
      <w:pPr>
        <w:pStyle w:val="w"/>
        <w:widowControl w:val="0"/>
        <w:numPr>
          <w:ilvl w:val="0"/>
          <w:numId w:val="47"/>
        </w:numPr>
        <w:spacing w:before="120"/>
        <w:rPr>
          <w:rFonts w:asciiTheme="minorHAnsi" w:hAnsiTheme="minorHAnsi" w:cstheme="minorHAnsi"/>
          <w:szCs w:val="22"/>
        </w:rPr>
      </w:pPr>
      <w:r w:rsidRPr="00F52FB0">
        <w:rPr>
          <w:rFonts w:asciiTheme="minorHAnsi" w:hAnsiTheme="minorHAnsi" w:cstheme="minorHAnsi"/>
          <w:szCs w:val="22"/>
        </w:rPr>
        <w:t>C</w:t>
      </w:r>
      <w:r w:rsidR="00AC30F7" w:rsidRPr="00F52FB0">
        <w:rPr>
          <w:rFonts w:asciiTheme="minorHAnsi" w:hAnsiTheme="minorHAnsi" w:cstheme="minorHAnsi"/>
          <w:szCs w:val="22"/>
        </w:rPr>
        <w:t xml:space="preserve">CAG - Cahier des clauses administratives générales applicables aux marchés publics de prestations intellectuelles approuvé par arrêté du </w:t>
      </w:r>
      <w:r w:rsidR="002E7338" w:rsidRPr="00F52FB0">
        <w:rPr>
          <w:rFonts w:asciiTheme="minorHAnsi" w:hAnsiTheme="minorHAnsi" w:cstheme="minorHAnsi"/>
          <w:szCs w:val="22"/>
        </w:rPr>
        <w:t>30 mars 2021</w:t>
      </w:r>
      <w:r w:rsidR="00D57337" w:rsidRPr="00DB700E">
        <w:rPr>
          <w:rFonts w:asciiTheme="minorHAnsi" w:hAnsiTheme="minorHAnsi" w:cstheme="minorHAnsi"/>
          <w:szCs w:val="22"/>
        </w:rPr>
        <w:t>, sou</w:t>
      </w:r>
      <w:r w:rsidR="00D57337" w:rsidRPr="00F52FB0">
        <w:rPr>
          <w:rFonts w:asciiTheme="minorHAnsi" w:hAnsiTheme="minorHAnsi" w:cstheme="minorHAnsi"/>
          <w:szCs w:val="22"/>
        </w:rPr>
        <w:t xml:space="preserve">s réserve des dérogations stipulées </w:t>
      </w:r>
      <w:r w:rsidR="00A9191F" w:rsidRPr="00F52FB0">
        <w:rPr>
          <w:rFonts w:asciiTheme="minorHAnsi" w:hAnsiTheme="minorHAnsi" w:cstheme="minorHAnsi"/>
          <w:szCs w:val="22"/>
        </w:rPr>
        <w:t>dans le présent</w:t>
      </w:r>
      <w:r w:rsidR="00D57337" w:rsidRPr="00F52FB0">
        <w:rPr>
          <w:rFonts w:asciiTheme="minorHAnsi" w:hAnsiTheme="minorHAnsi" w:cstheme="minorHAnsi"/>
          <w:szCs w:val="22"/>
        </w:rPr>
        <w:t xml:space="preserve"> contrat</w:t>
      </w:r>
      <w:r w:rsidR="00996FEA" w:rsidRPr="00F52FB0">
        <w:rPr>
          <w:rFonts w:asciiTheme="minorHAnsi" w:hAnsiTheme="minorHAnsi" w:cstheme="minorHAnsi"/>
          <w:szCs w:val="22"/>
        </w:rPr>
        <w:t xml:space="preserve">. </w:t>
      </w:r>
    </w:p>
    <w:p w14:paraId="3E4668E2" w14:textId="630C321D" w:rsidR="00996FEA" w:rsidRPr="005D176A" w:rsidRDefault="00996FEA" w:rsidP="00110630">
      <w:pPr>
        <w:pStyle w:val="w"/>
        <w:widowControl w:val="0"/>
        <w:numPr>
          <w:ilvl w:val="0"/>
          <w:numId w:val="47"/>
        </w:numPr>
        <w:spacing w:before="120"/>
        <w:rPr>
          <w:rFonts w:asciiTheme="minorHAnsi" w:hAnsiTheme="minorHAnsi" w:cstheme="minorHAnsi"/>
          <w:szCs w:val="22"/>
          <w:highlight w:val="yellow"/>
        </w:rPr>
      </w:pPr>
      <w:r w:rsidRPr="005D176A">
        <w:rPr>
          <w:rFonts w:asciiTheme="minorHAnsi" w:hAnsiTheme="minorHAnsi" w:cstheme="minorHAnsi"/>
          <w:szCs w:val="22"/>
          <w:highlight w:val="yellow"/>
        </w:rPr>
        <w:t xml:space="preserve">L’offre </w:t>
      </w:r>
      <w:r w:rsidR="00F52FB0" w:rsidRPr="005D176A">
        <w:rPr>
          <w:rFonts w:asciiTheme="minorHAnsi" w:hAnsiTheme="minorHAnsi" w:cstheme="minorHAnsi"/>
          <w:szCs w:val="22"/>
          <w:highlight w:val="yellow"/>
        </w:rPr>
        <w:t xml:space="preserve">technique </w:t>
      </w:r>
      <w:r w:rsidRPr="005D176A">
        <w:rPr>
          <w:rFonts w:asciiTheme="minorHAnsi" w:hAnsiTheme="minorHAnsi" w:cstheme="minorHAnsi"/>
          <w:szCs w:val="22"/>
          <w:highlight w:val="yellow"/>
        </w:rPr>
        <w:t xml:space="preserve">du </w:t>
      </w:r>
      <w:r w:rsidR="00AA21AB" w:rsidRPr="005D176A">
        <w:rPr>
          <w:rFonts w:asciiTheme="minorHAnsi" w:hAnsiTheme="minorHAnsi" w:cstheme="minorHAnsi"/>
          <w:smallCaps/>
          <w:szCs w:val="22"/>
          <w:highlight w:val="yellow"/>
        </w:rPr>
        <w:t>Contractant</w:t>
      </w:r>
      <w:r w:rsidRPr="005D176A">
        <w:rPr>
          <w:rFonts w:asciiTheme="minorHAnsi" w:hAnsiTheme="minorHAnsi" w:cstheme="minorHAnsi"/>
          <w:szCs w:val="22"/>
          <w:highlight w:val="yellow"/>
        </w:rPr>
        <w:t xml:space="preserve"> du XX/XX/XXXX</w:t>
      </w:r>
    </w:p>
    <w:p w14:paraId="7C3B4BE0" w14:textId="1E709C17" w:rsidR="00F52FB0" w:rsidRPr="005D176A" w:rsidRDefault="00F52FB0" w:rsidP="00110630">
      <w:pPr>
        <w:pStyle w:val="w"/>
        <w:widowControl w:val="0"/>
        <w:numPr>
          <w:ilvl w:val="0"/>
          <w:numId w:val="47"/>
        </w:numPr>
        <w:spacing w:before="120"/>
        <w:rPr>
          <w:rFonts w:asciiTheme="minorHAnsi" w:hAnsiTheme="minorHAnsi" w:cstheme="minorHAnsi"/>
          <w:szCs w:val="22"/>
          <w:highlight w:val="yellow"/>
        </w:rPr>
      </w:pPr>
      <w:r w:rsidRPr="005D176A">
        <w:rPr>
          <w:rFonts w:asciiTheme="minorHAnsi" w:hAnsiTheme="minorHAnsi" w:cstheme="minorHAnsi"/>
          <w:szCs w:val="22"/>
          <w:highlight w:val="yellow"/>
        </w:rPr>
        <w:t xml:space="preserve">L’offre financière du </w:t>
      </w:r>
      <w:r w:rsidRPr="005D176A">
        <w:rPr>
          <w:rFonts w:asciiTheme="minorHAnsi" w:hAnsiTheme="minorHAnsi" w:cstheme="minorHAnsi"/>
          <w:smallCaps/>
          <w:szCs w:val="22"/>
          <w:highlight w:val="yellow"/>
        </w:rPr>
        <w:t>Contractant</w:t>
      </w:r>
      <w:r w:rsidRPr="005D176A">
        <w:rPr>
          <w:rFonts w:asciiTheme="minorHAnsi" w:hAnsiTheme="minorHAnsi" w:cstheme="minorHAnsi"/>
          <w:szCs w:val="22"/>
          <w:highlight w:val="yellow"/>
        </w:rPr>
        <w:t xml:space="preserve"> du XX/XX/XXXX</w:t>
      </w:r>
    </w:p>
    <w:p w14:paraId="3C97B9B1" w14:textId="1793F100" w:rsidR="00F52FB0" w:rsidRPr="00F52FB0" w:rsidRDefault="00F52FB0" w:rsidP="00F52FB0">
      <w:pPr>
        <w:pStyle w:val="w"/>
        <w:widowControl w:val="0"/>
        <w:numPr>
          <w:ilvl w:val="0"/>
          <w:numId w:val="47"/>
        </w:numPr>
        <w:spacing w:before="120"/>
        <w:rPr>
          <w:rFonts w:asciiTheme="minorHAnsi" w:hAnsiTheme="minorHAnsi" w:cstheme="minorHAnsi"/>
          <w:szCs w:val="22"/>
        </w:rPr>
      </w:pPr>
      <w:r w:rsidRPr="00F52FB0">
        <w:rPr>
          <w:rFonts w:asciiTheme="minorHAnsi" w:hAnsiTheme="minorHAnsi" w:cstheme="minorHAnsi"/>
          <w:szCs w:val="22"/>
        </w:rPr>
        <w:t>Le formulaire de candidature comprenant la déclaration sur l'honneur relative aux critères d'exclusion, à l'absence de conflit d'intérêt et la fiche d’identité tiers ;</w:t>
      </w:r>
    </w:p>
    <w:p w14:paraId="23BB7D64" w14:textId="3B6569A4" w:rsidR="00F52FB0" w:rsidRPr="00F52FB0" w:rsidRDefault="00F52FB0" w:rsidP="00F52FB0">
      <w:pPr>
        <w:pStyle w:val="w"/>
        <w:widowControl w:val="0"/>
        <w:numPr>
          <w:ilvl w:val="0"/>
          <w:numId w:val="47"/>
        </w:numPr>
        <w:spacing w:before="120"/>
        <w:rPr>
          <w:rFonts w:asciiTheme="minorHAnsi" w:hAnsiTheme="minorHAnsi" w:cstheme="minorHAnsi"/>
          <w:szCs w:val="22"/>
        </w:rPr>
      </w:pPr>
      <w:r w:rsidRPr="00F52FB0">
        <w:rPr>
          <w:rFonts w:asciiTheme="minorHAnsi" w:hAnsiTheme="minorHAnsi" w:cstheme="minorHAnsi"/>
          <w:szCs w:val="22"/>
        </w:rPr>
        <w:t>Le formulaire de vérification de conformité au RGPD du candidat ;</w:t>
      </w:r>
    </w:p>
    <w:p w14:paraId="2D6274D5" w14:textId="77777777" w:rsidR="00F52FB0" w:rsidRDefault="00F52FB0" w:rsidP="00F52FB0">
      <w:pPr>
        <w:pStyle w:val="w"/>
        <w:widowControl w:val="0"/>
        <w:numPr>
          <w:ilvl w:val="0"/>
          <w:numId w:val="47"/>
        </w:numPr>
        <w:spacing w:before="120"/>
        <w:rPr>
          <w:rFonts w:asciiTheme="minorHAnsi" w:hAnsiTheme="minorHAnsi" w:cstheme="minorHAnsi"/>
          <w:szCs w:val="22"/>
        </w:rPr>
      </w:pPr>
      <w:r w:rsidRPr="00F52FB0">
        <w:rPr>
          <w:rFonts w:asciiTheme="minorHAnsi" w:hAnsiTheme="minorHAnsi" w:cstheme="minorHAnsi"/>
          <w:szCs w:val="22"/>
        </w:rPr>
        <w:t>Le questionnaire sécurité-sûreté</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DB700E">
        <w:rPr>
          <w:rFonts w:asciiTheme="minorHAnsi" w:hAnsiTheme="minorHAnsi" w:cstheme="minorHAnsi"/>
          <w:szCs w:val="22"/>
        </w:rPr>
        <w:t>Ces documents</w:t>
      </w:r>
      <w:r w:rsidR="00E551F2" w:rsidRPr="00F52FB0">
        <w:rPr>
          <w:rFonts w:asciiTheme="minorHAnsi" w:hAnsiTheme="minorHAnsi" w:cstheme="minorHAnsi"/>
          <w:szCs w:val="22"/>
        </w:rPr>
        <w:t xml:space="preserve"> </w:t>
      </w:r>
      <w:r w:rsidRPr="00F52FB0">
        <w:rPr>
          <w:rFonts w:asciiTheme="minorHAnsi" w:hAnsiTheme="minorHAnsi" w:cstheme="minorHAnsi"/>
          <w:szCs w:val="22"/>
        </w:rPr>
        <w:t>constituent</w:t>
      </w:r>
      <w:r w:rsidR="00E551F2" w:rsidRPr="00F52FB0">
        <w:rPr>
          <w:rFonts w:asciiTheme="minorHAnsi" w:hAnsiTheme="minorHAnsi" w:cstheme="minorHAnsi"/>
          <w:szCs w:val="22"/>
        </w:rPr>
        <w:t xml:space="preserve"> l’intégralité de l’accord</w:t>
      </w:r>
      <w:r w:rsidR="00E551F2" w:rsidRPr="00A86E43">
        <w:rPr>
          <w:rFonts w:asciiTheme="minorHAnsi" w:hAnsiTheme="minorHAnsi" w:cstheme="minorHAnsi"/>
          <w:szCs w:val="22"/>
        </w:rPr>
        <w:t xml:space="preserve">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126921971"/>
      <w:bookmarkStart w:id="8"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7"/>
    </w:p>
    <w:p w14:paraId="77401A47" w14:textId="77777777" w:rsidR="00A86E43" w:rsidRDefault="00204CC9" w:rsidP="0088284C">
      <w:pPr>
        <w:pStyle w:val="Titre2"/>
        <w:rPr>
          <w:rFonts w:asciiTheme="minorHAnsi" w:hAnsiTheme="minorHAnsi"/>
          <w:sz w:val="22"/>
        </w:rPr>
      </w:pPr>
      <w:bookmarkStart w:id="9" w:name="_Toc126921972"/>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8"/>
      <w:bookmarkEnd w:id="9"/>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578326AA" w14:textId="13E70F03" w:rsidR="006730A3" w:rsidRPr="00A86E43" w:rsidRDefault="00804BED" w:rsidP="006A10E4">
      <w:pPr>
        <w:pStyle w:val="u"/>
        <w:rPr>
          <w:rFonts w:asciiTheme="minorHAnsi" w:hAnsiTheme="minorHAnsi" w:cstheme="minorHAnsi"/>
          <w:szCs w:val="22"/>
        </w:rPr>
      </w:pPr>
      <w:bookmarkStart w:id="10" w:name="_Toc379270787"/>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w:t>
      </w:r>
      <w:r w:rsidR="00F52FB0">
        <w:rPr>
          <w:rFonts w:asciiTheme="minorHAnsi" w:hAnsiTheme="minorHAnsi" w:cstheme="minorHAnsi"/>
          <w:szCs w:val="22"/>
        </w:rPr>
        <w:t xml:space="preserve">un </w:t>
      </w:r>
      <w:r w:rsidR="005F0451" w:rsidRPr="00A86E43">
        <w:rPr>
          <w:rFonts w:asciiTheme="minorHAnsi" w:hAnsiTheme="minorHAnsi" w:cstheme="minorHAnsi"/>
          <w:szCs w:val="22"/>
        </w:rPr>
        <w:t>marché public de services</w:t>
      </w:r>
      <w:r w:rsidR="00F52FB0">
        <w:rPr>
          <w:rFonts w:asciiTheme="minorHAnsi" w:hAnsiTheme="minorHAnsi" w:cstheme="minorHAnsi"/>
          <w:szCs w:val="22"/>
        </w:rPr>
        <w:t xml:space="preserve"> </w:t>
      </w:r>
      <w:r w:rsidRPr="00A86E43">
        <w:rPr>
          <w:rFonts w:asciiTheme="minorHAnsi" w:hAnsiTheme="minorHAnsi" w:cstheme="minorHAnsi"/>
          <w:szCs w:val="22"/>
        </w:rPr>
        <w:t>conclu à prix global et forfaitaire</w:t>
      </w:r>
      <w:r w:rsidR="001B6DF5" w:rsidRPr="00A86E43">
        <w:rPr>
          <w:rFonts w:asciiTheme="minorHAnsi" w:hAnsiTheme="minorHAnsi" w:cstheme="minorHAnsi"/>
          <w:szCs w:val="22"/>
        </w:rPr>
        <w:t xml:space="preserve">. </w:t>
      </w:r>
      <w:bookmarkStart w:id="11" w:name="_Toc392669632"/>
      <w:bookmarkEnd w:id="10"/>
    </w:p>
    <w:p w14:paraId="32BD01F2" w14:textId="77777777" w:rsidR="000A6E96" w:rsidRPr="00A86E43" w:rsidRDefault="000A6E96" w:rsidP="00F72033">
      <w:pPr>
        <w:pStyle w:val="Titre2"/>
        <w:spacing w:before="120" w:after="60"/>
        <w:rPr>
          <w:rFonts w:asciiTheme="minorHAnsi" w:hAnsiTheme="minorHAnsi"/>
          <w:sz w:val="22"/>
        </w:rPr>
      </w:pPr>
      <w:bookmarkStart w:id="12" w:name="_Toc126921973"/>
      <w:r w:rsidRPr="00A86E43">
        <w:rPr>
          <w:rFonts w:asciiTheme="minorHAnsi" w:hAnsiTheme="minorHAnsi"/>
          <w:sz w:val="22"/>
        </w:rPr>
        <w:t>Durée</w:t>
      </w:r>
      <w:r w:rsidR="001E4CCB" w:rsidRPr="00A86E43">
        <w:rPr>
          <w:rFonts w:asciiTheme="minorHAnsi" w:hAnsiTheme="minorHAnsi"/>
          <w:sz w:val="22"/>
        </w:rPr>
        <w:t xml:space="preserve"> </w:t>
      </w:r>
      <w:bookmarkEnd w:id="11"/>
      <w:r w:rsidR="008A0752" w:rsidRPr="00A86E43">
        <w:rPr>
          <w:rFonts w:asciiTheme="minorHAnsi" w:hAnsiTheme="minorHAnsi"/>
          <w:sz w:val="22"/>
        </w:rPr>
        <w:t>du contrat</w:t>
      </w:r>
      <w:bookmarkEnd w:id="12"/>
    </w:p>
    <w:p w14:paraId="1800724A" w14:textId="52CABC4A"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 xml:space="preserve">est de </w:t>
      </w:r>
      <w:r w:rsidR="005D176A">
        <w:rPr>
          <w:rFonts w:asciiTheme="minorHAnsi" w:hAnsiTheme="minorHAnsi" w:cs="Arial"/>
        </w:rPr>
        <w:t>5</w:t>
      </w:r>
      <w:r w:rsidR="00F52FB0" w:rsidRPr="00A86E43">
        <w:rPr>
          <w:rFonts w:asciiTheme="minorHAnsi" w:hAnsiTheme="minorHAnsi" w:cs="Arial"/>
        </w:rPr>
        <w:t xml:space="preserve"> </w:t>
      </w:r>
      <w:r w:rsidRPr="00A86E43">
        <w:rPr>
          <w:rFonts w:asciiTheme="minorHAnsi" w:hAnsiTheme="minorHAnsi" w:cs="Arial"/>
        </w:rPr>
        <w:t>mois à compter de sa date de notification au</w:t>
      </w:r>
      <w:r w:rsidR="003A0706">
        <w:rPr>
          <w:rFonts w:asciiTheme="minorHAnsi" w:hAnsiTheme="minorHAnsi" w:cs="Arial"/>
        </w:rPr>
        <w:t xml:space="preserve"> </w:t>
      </w:r>
      <w:r w:rsidR="00AA21AB" w:rsidRPr="003A0706">
        <w:rPr>
          <w:rFonts w:asciiTheme="minorHAnsi" w:hAnsiTheme="minorHAnsi" w:cs="Arial"/>
          <w:smallCaps/>
        </w:rPr>
        <w:t>Contractant</w:t>
      </w:r>
      <w:r w:rsidRPr="00A86E43">
        <w:rPr>
          <w:rFonts w:asciiTheme="minorHAnsi" w:hAnsiTheme="minorHAnsi" w:cs="Arial"/>
        </w:rPr>
        <w:t xml:space="preserve"> par </w:t>
      </w:r>
      <w:r w:rsidR="00CE73DB" w:rsidRPr="00CE73DB">
        <w:rPr>
          <w:rFonts w:asciiTheme="minorHAnsi" w:hAnsiTheme="minorHAnsi" w:cs="Arial"/>
          <w:smallCaps/>
        </w:rPr>
        <w:t xml:space="preserve">Expertise </w:t>
      </w:r>
      <w:r w:rsidR="003A0706">
        <w:rPr>
          <w:rFonts w:asciiTheme="minorHAnsi" w:hAnsiTheme="minorHAnsi" w:cs="Arial"/>
          <w:smallCaps/>
        </w:rPr>
        <w:t>France</w:t>
      </w:r>
      <w:r w:rsidRPr="00A86E43">
        <w:rPr>
          <w:rFonts w:asciiTheme="minorHAnsi" w:hAnsiTheme="minorHAnsi" w:cs="Arial"/>
        </w:rPr>
        <w:t>.</w:t>
      </w:r>
    </w:p>
    <w:p w14:paraId="642D3E66" w14:textId="77777777"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7B2EAE41" w14:textId="3BB4B118" w:rsidR="001E12A9" w:rsidRPr="00A86E43" w:rsidRDefault="001E12A9" w:rsidP="001E12A9">
      <w:pPr>
        <w:pStyle w:val="Titre2"/>
        <w:spacing w:before="120" w:after="60"/>
        <w:rPr>
          <w:rFonts w:asciiTheme="minorHAnsi" w:hAnsiTheme="minorHAnsi"/>
          <w:sz w:val="22"/>
        </w:rPr>
      </w:pPr>
      <w:bookmarkStart w:id="13" w:name="_Toc126921974"/>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élai d’exécution</w:t>
      </w:r>
      <w:r w:rsidR="003B5A58" w:rsidRPr="00A86E43">
        <w:rPr>
          <w:rFonts w:asciiTheme="minorHAnsi" w:hAnsiTheme="minorHAnsi"/>
          <w:sz w:val="22"/>
        </w:rPr>
        <w:t xml:space="preserve"> des prestations</w:t>
      </w:r>
      <w:bookmarkEnd w:id="13"/>
    </w:p>
    <w:p w14:paraId="48DFE8F3" w14:textId="2923307F" w:rsidR="001E12A9" w:rsidRPr="00A86E43" w:rsidRDefault="001E12A9" w:rsidP="00641B9F">
      <w:pPr>
        <w:pStyle w:val="v"/>
        <w:widowControl w:val="0"/>
        <w:spacing w:before="120"/>
        <w:ind w:left="556" w:firstLine="0"/>
        <w:rPr>
          <w:rFonts w:asciiTheme="minorHAnsi" w:hAnsiTheme="minorHAnsi" w:cs="Arial"/>
        </w:rPr>
      </w:pPr>
      <w:r w:rsidRPr="00A86E43">
        <w:rPr>
          <w:rFonts w:asciiTheme="minorHAnsi" w:hAnsiTheme="minorHAnsi" w:cs="Arial"/>
        </w:rPr>
        <w:t>Le délai d’exécution des prestations</w:t>
      </w:r>
      <w:r w:rsidR="00F52FB0">
        <w:rPr>
          <w:rFonts w:asciiTheme="minorHAnsi" w:hAnsiTheme="minorHAnsi" w:cs="Arial"/>
        </w:rPr>
        <w:t xml:space="preserve"> </w:t>
      </w:r>
      <w:r w:rsidR="003D00B0" w:rsidRPr="00A86E43">
        <w:rPr>
          <w:rFonts w:asciiTheme="minorHAnsi" w:hAnsiTheme="minorHAnsi" w:cs="Arial"/>
        </w:rPr>
        <w:t>attend</w:t>
      </w:r>
      <w:r w:rsidR="00E326F3" w:rsidRPr="00A86E43">
        <w:rPr>
          <w:rFonts w:asciiTheme="minorHAnsi" w:hAnsiTheme="minorHAnsi" w:cs="Arial"/>
        </w:rPr>
        <w:t xml:space="preserve">ues au titre du présent </w:t>
      </w:r>
      <w:r w:rsidR="005E4E1E" w:rsidRPr="00A86E43">
        <w:rPr>
          <w:rFonts w:asciiTheme="minorHAnsi" w:hAnsiTheme="minorHAnsi" w:cs="Arial"/>
          <w:smallCaps/>
        </w:rPr>
        <w:t>Contrat</w:t>
      </w:r>
      <w:r w:rsidR="00F52FB0">
        <w:rPr>
          <w:rFonts w:asciiTheme="minorHAnsi" w:hAnsiTheme="minorHAnsi" w:cs="Arial"/>
        </w:rPr>
        <w:t xml:space="preserve"> </w:t>
      </w:r>
      <w:r w:rsidR="00B30BC2" w:rsidRPr="00A86E43">
        <w:rPr>
          <w:rFonts w:asciiTheme="minorHAnsi" w:hAnsiTheme="minorHAnsi" w:cs="Arial"/>
        </w:rPr>
        <w:t xml:space="preserve">est fixé à </w:t>
      </w:r>
      <w:r w:rsidR="00F52FB0">
        <w:rPr>
          <w:rFonts w:asciiTheme="minorHAnsi" w:hAnsiTheme="minorHAnsi" w:cs="Arial"/>
        </w:rPr>
        <w:t>180</w:t>
      </w:r>
      <w:r w:rsidR="00F52FB0" w:rsidRPr="00A86E43">
        <w:rPr>
          <w:rFonts w:asciiTheme="minorHAnsi" w:hAnsiTheme="minorHAnsi" w:cs="Arial"/>
        </w:rPr>
        <w:t xml:space="preserve"> </w:t>
      </w:r>
      <w:r w:rsidR="00B30BC2" w:rsidRPr="00A86E43">
        <w:rPr>
          <w:rFonts w:asciiTheme="minorHAnsi" w:hAnsiTheme="minorHAnsi" w:cs="Arial"/>
        </w:rPr>
        <w:t xml:space="preserve">jours à compter de la date de notification du présent </w:t>
      </w:r>
      <w:r w:rsidR="00B30BC2" w:rsidRPr="00A86E43">
        <w:rPr>
          <w:rFonts w:asciiTheme="minorHAnsi" w:hAnsiTheme="minorHAnsi" w:cs="Arial"/>
          <w:smallCaps/>
        </w:rPr>
        <w:t>contrat</w:t>
      </w:r>
      <w:r w:rsidRPr="00A86E43">
        <w:rPr>
          <w:rFonts w:asciiTheme="minorHAnsi" w:hAnsiTheme="minorHAnsi" w:cs="Arial"/>
        </w:rPr>
        <w:t>.</w:t>
      </w:r>
    </w:p>
    <w:p w14:paraId="50F89D80" w14:textId="77777777" w:rsidR="00E326F3" w:rsidRPr="00A86E43" w:rsidRDefault="00E326F3" w:rsidP="00E326F3">
      <w:pPr>
        <w:pStyle w:val="v"/>
        <w:widowControl w:val="0"/>
        <w:spacing w:before="120"/>
        <w:ind w:left="556" w:firstLine="0"/>
        <w:rPr>
          <w:rFonts w:asciiTheme="minorHAnsi" w:hAnsiTheme="minorHAnsi" w:cs="Arial"/>
        </w:rPr>
      </w:pPr>
      <w:r w:rsidRPr="00A86E43">
        <w:rPr>
          <w:rFonts w:asciiTheme="minorHAnsi" w:hAnsiTheme="minorHAnsi" w:cs="Arial"/>
        </w:rPr>
        <w:t>Si tout ou partie des</w:t>
      </w:r>
      <w:r w:rsidR="00C84056" w:rsidRPr="00A86E43">
        <w:rPr>
          <w:rFonts w:asciiTheme="minorHAnsi" w:hAnsiTheme="minorHAnsi" w:cs="Arial"/>
        </w:rPr>
        <w:t xml:space="preserve"> prestations </w:t>
      </w:r>
      <w:r w:rsidRPr="00A86E43">
        <w:rPr>
          <w:rFonts w:asciiTheme="minorHAnsi" w:hAnsiTheme="minorHAnsi" w:cs="Arial"/>
        </w:rPr>
        <w:t xml:space="preserve">ne sont pas réalisées dans les délais prévus,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4" w:name="_Toc126921977"/>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4"/>
    </w:p>
    <w:p w14:paraId="45132ED0" w14:textId="77777777" w:rsidR="00E849ED" w:rsidRPr="00A86E43" w:rsidRDefault="00E849ED" w:rsidP="0041382E">
      <w:pPr>
        <w:pStyle w:val="Titre2"/>
        <w:spacing w:before="120" w:after="60"/>
        <w:rPr>
          <w:rFonts w:asciiTheme="minorHAnsi" w:hAnsiTheme="minorHAnsi"/>
          <w:sz w:val="22"/>
        </w:rPr>
      </w:pPr>
      <w:bookmarkStart w:id="15" w:name="_Toc392669634"/>
      <w:bookmarkStart w:id="16" w:name="_Toc524095228"/>
      <w:bookmarkStart w:id="17" w:name="_Toc126921978"/>
      <w:r w:rsidRPr="00A86E43">
        <w:rPr>
          <w:rFonts w:asciiTheme="minorHAnsi" w:hAnsiTheme="minorHAnsi"/>
          <w:sz w:val="22"/>
        </w:rPr>
        <w:t>Montant du contrat</w:t>
      </w:r>
      <w:bookmarkEnd w:id="15"/>
      <w:bookmarkEnd w:id="16"/>
      <w:bookmarkEnd w:id="17"/>
    </w:p>
    <w:p w14:paraId="3A2ACC99" w14:textId="050D4D2C" w:rsidR="00123D1A" w:rsidRPr="00A86E43" w:rsidRDefault="00123D1A" w:rsidP="00FA2790">
      <w:pPr>
        <w:pStyle w:val="u"/>
        <w:widowControl w:val="0"/>
        <w:numPr>
          <w:ilvl w:val="12"/>
          <w:numId w:val="0"/>
        </w:numPr>
        <w:spacing w:after="120"/>
        <w:ind w:left="561"/>
        <w:jc w:val="left"/>
        <w:rPr>
          <w:rFonts w:asciiTheme="minorHAnsi" w:hAnsiTheme="minorHAnsi" w:cstheme="minorHAnsi"/>
          <w:szCs w:val="22"/>
        </w:rPr>
      </w:pPr>
    </w:p>
    <w:p w14:paraId="16F7E6CC" w14:textId="46A64603" w:rsidR="00F53E95" w:rsidRPr="00A86E43" w:rsidRDefault="00F53E95" w:rsidP="00FA2790">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Pr="00A86E43">
        <w:rPr>
          <w:rFonts w:asciiTheme="minorHAnsi" w:hAnsiTheme="minorHAnsi" w:cstheme="minorHAnsi"/>
          <w:szCs w:val="22"/>
          <w:highlight w:val="yellow"/>
        </w:rPr>
        <w:t>Indiquer montant</w:t>
      </w:r>
      <w:r w:rsidRPr="00A86E43">
        <w:rPr>
          <w:rFonts w:asciiTheme="minorHAnsi" w:hAnsiTheme="minorHAnsi" w:cstheme="minorHAnsi"/>
          <w:szCs w:val="22"/>
        </w:rPr>
        <w:t xml:space="preserve"> </w:t>
      </w:r>
      <w:r w:rsidR="005D176A">
        <w:rPr>
          <w:rFonts w:asciiTheme="minorHAnsi" w:hAnsiTheme="minorHAnsi" w:cstheme="minorHAnsi"/>
          <w:szCs w:val="22"/>
        </w:rPr>
        <w:t>$</w:t>
      </w:r>
      <w:r w:rsidR="005D176A" w:rsidRPr="00A86E43">
        <w:rPr>
          <w:rFonts w:asciiTheme="minorHAnsi" w:hAnsiTheme="minorHAnsi" w:cstheme="minorHAnsi"/>
          <w:szCs w:val="22"/>
        </w:rPr>
        <w:t xml:space="preserve"> </w:t>
      </w:r>
      <w:r w:rsidRPr="00A86E43">
        <w:rPr>
          <w:rFonts w:asciiTheme="minorHAnsi" w:hAnsiTheme="minorHAnsi" w:cstheme="minorHAnsi"/>
          <w:szCs w:val="22"/>
        </w:rPr>
        <w:t>HT (hors taxe).</w:t>
      </w:r>
    </w:p>
    <w:p w14:paraId="3F5DD216" w14:textId="77777777" w:rsidR="00F53E95" w:rsidRPr="00A86E43" w:rsidRDefault="00F53E95" w:rsidP="00E26D16">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Il se décompose de la manière suivante :</w:t>
      </w:r>
    </w:p>
    <w:tbl>
      <w:tblPr>
        <w:tblStyle w:val="Grilledutableau"/>
        <w:tblW w:w="9781" w:type="dxa"/>
        <w:tblInd w:w="-5" w:type="dxa"/>
        <w:tblLook w:val="04A0" w:firstRow="1" w:lastRow="0" w:firstColumn="1" w:lastColumn="0" w:noHBand="0" w:noVBand="1"/>
      </w:tblPr>
      <w:tblGrid>
        <w:gridCol w:w="5670"/>
        <w:gridCol w:w="1701"/>
        <w:gridCol w:w="2410"/>
      </w:tblGrid>
      <w:tr w:rsidR="00F53E95" w:rsidRPr="00F52FB0" w14:paraId="653E92C7" w14:textId="77777777" w:rsidTr="006A10E4">
        <w:trPr>
          <w:trHeight w:val="537"/>
        </w:trPr>
        <w:tc>
          <w:tcPr>
            <w:tcW w:w="5670" w:type="dxa"/>
            <w:vAlign w:val="center"/>
          </w:tcPr>
          <w:p w14:paraId="0D5175C1" w14:textId="77777777" w:rsidR="00F53E95" w:rsidRPr="00DB700E" w:rsidRDefault="00F53E95" w:rsidP="00F53E95">
            <w:pPr>
              <w:pStyle w:val="v"/>
              <w:widowControl w:val="0"/>
              <w:spacing w:before="60" w:after="60"/>
              <w:ind w:left="0" w:firstLine="0"/>
              <w:jc w:val="left"/>
              <w:rPr>
                <w:rFonts w:asciiTheme="minorHAnsi" w:hAnsiTheme="minorHAnsi" w:cstheme="minorHAnsi"/>
                <w:b/>
                <w:szCs w:val="22"/>
              </w:rPr>
            </w:pPr>
            <w:r w:rsidRPr="00DB700E">
              <w:rPr>
                <w:rFonts w:asciiTheme="minorHAnsi" w:hAnsiTheme="minorHAnsi" w:cstheme="minorHAnsi"/>
                <w:b/>
                <w:szCs w:val="22"/>
              </w:rPr>
              <w:t>POSTES</w:t>
            </w:r>
          </w:p>
        </w:tc>
        <w:tc>
          <w:tcPr>
            <w:tcW w:w="1701" w:type="dxa"/>
            <w:vAlign w:val="center"/>
          </w:tcPr>
          <w:p w14:paraId="091F25D6" w14:textId="77777777" w:rsidR="00F53E95" w:rsidRPr="006A10E4" w:rsidRDefault="00F53E95" w:rsidP="00F53E95">
            <w:pPr>
              <w:pStyle w:val="v"/>
              <w:widowControl w:val="0"/>
              <w:spacing w:before="60" w:after="60"/>
              <w:ind w:left="0" w:firstLine="0"/>
              <w:jc w:val="center"/>
              <w:rPr>
                <w:rFonts w:asciiTheme="minorHAnsi" w:hAnsiTheme="minorHAnsi" w:cstheme="minorHAnsi"/>
                <w:b/>
                <w:szCs w:val="22"/>
              </w:rPr>
            </w:pPr>
            <w:r w:rsidRPr="006A10E4">
              <w:rPr>
                <w:rFonts w:asciiTheme="minorHAnsi" w:hAnsiTheme="minorHAnsi" w:cstheme="minorHAnsi"/>
                <w:b/>
                <w:szCs w:val="22"/>
              </w:rPr>
              <w:t>TYPES DE MONTANT</w:t>
            </w:r>
          </w:p>
        </w:tc>
        <w:tc>
          <w:tcPr>
            <w:tcW w:w="2410" w:type="dxa"/>
            <w:vAlign w:val="center"/>
          </w:tcPr>
          <w:p w14:paraId="0AFB497A" w14:textId="77777777" w:rsidR="00F53E95" w:rsidRPr="006A10E4" w:rsidRDefault="00F53E95" w:rsidP="00F53E95">
            <w:pPr>
              <w:pStyle w:val="v"/>
              <w:widowControl w:val="0"/>
              <w:spacing w:before="60" w:after="60"/>
              <w:ind w:left="0" w:firstLine="0"/>
              <w:jc w:val="center"/>
              <w:rPr>
                <w:rFonts w:asciiTheme="minorHAnsi" w:hAnsiTheme="minorHAnsi" w:cstheme="minorHAnsi"/>
                <w:b/>
                <w:szCs w:val="22"/>
              </w:rPr>
            </w:pPr>
            <w:r w:rsidRPr="006A10E4">
              <w:rPr>
                <w:rFonts w:asciiTheme="minorHAnsi" w:hAnsiTheme="minorHAnsi" w:cstheme="minorHAnsi"/>
                <w:b/>
                <w:szCs w:val="22"/>
              </w:rPr>
              <w:t>MONTANTS</w:t>
            </w:r>
          </w:p>
        </w:tc>
      </w:tr>
      <w:tr w:rsidR="00F53E95" w:rsidRPr="00F52FB0" w14:paraId="447771CE" w14:textId="77777777" w:rsidTr="006A10E4">
        <w:tc>
          <w:tcPr>
            <w:tcW w:w="5670" w:type="dxa"/>
            <w:vAlign w:val="center"/>
          </w:tcPr>
          <w:p w14:paraId="2C91C4BF" w14:textId="70839CC4" w:rsidR="00F53E95" w:rsidRPr="00F52FB0" w:rsidRDefault="00F53E95" w:rsidP="006A10E4">
            <w:pPr>
              <w:pStyle w:val="v"/>
              <w:widowControl w:val="0"/>
              <w:spacing w:before="60" w:after="60"/>
              <w:ind w:left="0" w:firstLine="0"/>
              <w:jc w:val="left"/>
              <w:rPr>
                <w:rFonts w:asciiTheme="minorHAnsi" w:hAnsiTheme="minorHAnsi" w:cstheme="minorHAnsi"/>
                <w:szCs w:val="22"/>
              </w:rPr>
            </w:pPr>
            <w:r w:rsidRPr="00F52FB0">
              <w:rPr>
                <w:rFonts w:asciiTheme="minorHAnsi" w:hAnsiTheme="minorHAnsi" w:cstheme="minorHAnsi"/>
                <w:szCs w:val="22"/>
              </w:rPr>
              <w:t>P1</w:t>
            </w:r>
            <w:r w:rsidR="00F52FB0" w:rsidRPr="00F52FB0">
              <w:rPr>
                <w:rFonts w:asciiTheme="minorHAnsi" w:hAnsiTheme="minorHAnsi" w:cstheme="minorHAnsi"/>
                <w:szCs w:val="22"/>
              </w:rPr>
              <w:t xml:space="preserve"> - Rapport de démarrage</w:t>
            </w:r>
          </w:p>
        </w:tc>
        <w:tc>
          <w:tcPr>
            <w:tcW w:w="1701" w:type="dxa"/>
            <w:vAlign w:val="center"/>
          </w:tcPr>
          <w:p w14:paraId="6F358ECD" w14:textId="77777777" w:rsidR="00F53E95" w:rsidRPr="006A10E4" w:rsidRDefault="00F53E95" w:rsidP="00F53E95">
            <w:pPr>
              <w:pStyle w:val="v"/>
              <w:widowControl w:val="0"/>
              <w:spacing w:before="60" w:after="60"/>
              <w:ind w:left="0" w:firstLine="0"/>
              <w:jc w:val="center"/>
              <w:rPr>
                <w:rFonts w:asciiTheme="minorHAnsi" w:hAnsiTheme="minorHAnsi" w:cstheme="minorHAnsi"/>
                <w:szCs w:val="22"/>
              </w:rPr>
            </w:pPr>
            <w:r w:rsidRPr="006A10E4">
              <w:rPr>
                <w:rFonts w:asciiTheme="minorHAnsi" w:hAnsiTheme="minorHAnsi" w:cstheme="minorHAnsi"/>
                <w:szCs w:val="22"/>
              </w:rPr>
              <w:t>Prix forfaitaire</w:t>
            </w:r>
          </w:p>
        </w:tc>
        <w:tc>
          <w:tcPr>
            <w:tcW w:w="2410" w:type="dxa"/>
            <w:vAlign w:val="center"/>
          </w:tcPr>
          <w:p w14:paraId="74B4503F" w14:textId="73D8C6D7" w:rsidR="00F53E95" w:rsidRPr="006A10E4" w:rsidRDefault="005D176A" w:rsidP="00F53E95">
            <w:pPr>
              <w:pStyle w:val="v"/>
              <w:widowControl w:val="0"/>
              <w:spacing w:before="60" w:after="60"/>
              <w:ind w:left="0" w:firstLine="0"/>
              <w:jc w:val="right"/>
              <w:rPr>
                <w:rFonts w:asciiTheme="minorHAnsi" w:hAnsiTheme="minorHAnsi" w:cstheme="minorHAnsi"/>
                <w:szCs w:val="22"/>
              </w:rPr>
            </w:pPr>
            <w:r>
              <w:rPr>
                <w:rFonts w:asciiTheme="minorHAnsi" w:hAnsiTheme="minorHAnsi" w:cstheme="minorHAnsi"/>
                <w:szCs w:val="22"/>
              </w:rPr>
              <w:t>$</w:t>
            </w:r>
            <w:r w:rsidRPr="006A10E4">
              <w:rPr>
                <w:rFonts w:asciiTheme="minorHAnsi" w:hAnsiTheme="minorHAnsi" w:cstheme="minorHAnsi"/>
                <w:szCs w:val="22"/>
              </w:rPr>
              <w:t xml:space="preserve"> </w:t>
            </w:r>
            <w:r w:rsidR="00F53E95" w:rsidRPr="006A10E4">
              <w:rPr>
                <w:rFonts w:asciiTheme="minorHAnsi" w:hAnsiTheme="minorHAnsi" w:cstheme="minorHAnsi"/>
                <w:szCs w:val="22"/>
              </w:rPr>
              <w:t>HT (hors taxe)</w:t>
            </w:r>
          </w:p>
        </w:tc>
      </w:tr>
      <w:tr w:rsidR="00F53E95" w:rsidRPr="00F52FB0" w14:paraId="2C55A468" w14:textId="77777777" w:rsidTr="006A10E4">
        <w:tc>
          <w:tcPr>
            <w:tcW w:w="5670" w:type="dxa"/>
            <w:vAlign w:val="center"/>
          </w:tcPr>
          <w:p w14:paraId="3555BB7C" w14:textId="007ECC9E" w:rsidR="00F53E95" w:rsidRPr="00F52FB0" w:rsidRDefault="00F53E95" w:rsidP="006A10E4">
            <w:pPr>
              <w:pStyle w:val="v"/>
              <w:widowControl w:val="0"/>
              <w:spacing w:before="60" w:after="60"/>
              <w:ind w:left="0" w:firstLine="0"/>
              <w:jc w:val="left"/>
              <w:rPr>
                <w:rFonts w:asciiTheme="minorHAnsi" w:hAnsiTheme="minorHAnsi" w:cstheme="minorHAnsi"/>
                <w:szCs w:val="22"/>
              </w:rPr>
            </w:pPr>
            <w:r w:rsidRPr="00F52FB0">
              <w:rPr>
                <w:rFonts w:asciiTheme="minorHAnsi" w:hAnsiTheme="minorHAnsi" w:cstheme="minorHAnsi"/>
                <w:szCs w:val="22"/>
              </w:rPr>
              <w:t>P2</w:t>
            </w:r>
            <w:r w:rsidR="00F52FB0" w:rsidRPr="00F52FB0">
              <w:rPr>
                <w:rFonts w:asciiTheme="minorHAnsi" w:hAnsiTheme="minorHAnsi" w:cstheme="minorHAnsi"/>
                <w:szCs w:val="22"/>
              </w:rPr>
              <w:t xml:space="preserve"> - Rapport d’appui à la réorganisation de la Direction Financière de la DAF</w:t>
            </w:r>
          </w:p>
        </w:tc>
        <w:tc>
          <w:tcPr>
            <w:tcW w:w="1701" w:type="dxa"/>
          </w:tcPr>
          <w:p w14:paraId="3506611C" w14:textId="77777777" w:rsidR="00F53E95" w:rsidRPr="006A10E4" w:rsidRDefault="00F53E95" w:rsidP="00F53E95">
            <w:pPr>
              <w:pStyle w:val="v"/>
              <w:widowControl w:val="0"/>
              <w:spacing w:before="60" w:after="60"/>
              <w:ind w:left="0" w:firstLine="0"/>
              <w:jc w:val="center"/>
              <w:rPr>
                <w:rFonts w:asciiTheme="minorHAnsi" w:hAnsiTheme="minorHAnsi" w:cstheme="minorHAnsi"/>
                <w:szCs w:val="22"/>
              </w:rPr>
            </w:pPr>
            <w:r w:rsidRPr="006A10E4">
              <w:rPr>
                <w:rFonts w:asciiTheme="minorHAnsi" w:hAnsiTheme="minorHAnsi" w:cstheme="minorHAnsi"/>
                <w:szCs w:val="22"/>
              </w:rPr>
              <w:t>Prix forfaitaire</w:t>
            </w:r>
          </w:p>
        </w:tc>
        <w:tc>
          <w:tcPr>
            <w:tcW w:w="2410" w:type="dxa"/>
            <w:vAlign w:val="center"/>
          </w:tcPr>
          <w:p w14:paraId="50C83993" w14:textId="5E511992" w:rsidR="00F53E95" w:rsidRPr="006A10E4" w:rsidRDefault="005D176A" w:rsidP="00F53E95">
            <w:pPr>
              <w:pStyle w:val="v"/>
              <w:widowControl w:val="0"/>
              <w:spacing w:before="60" w:after="60"/>
              <w:ind w:left="0" w:firstLine="0"/>
              <w:jc w:val="right"/>
              <w:rPr>
                <w:rFonts w:asciiTheme="minorHAnsi" w:hAnsiTheme="minorHAnsi" w:cstheme="minorHAnsi"/>
                <w:szCs w:val="22"/>
              </w:rPr>
            </w:pPr>
            <w:r>
              <w:rPr>
                <w:rFonts w:asciiTheme="minorHAnsi" w:hAnsiTheme="minorHAnsi" w:cstheme="minorHAnsi"/>
                <w:szCs w:val="22"/>
              </w:rPr>
              <w:t>$</w:t>
            </w:r>
            <w:r w:rsidRPr="006A10E4">
              <w:rPr>
                <w:rFonts w:asciiTheme="minorHAnsi" w:hAnsiTheme="minorHAnsi" w:cstheme="minorHAnsi"/>
                <w:szCs w:val="22"/>
              </w:rPr>
              <w:t xml:space="preserve"> </w:t>
            </w:r>
            <w:r w:rsidR="00F53E95" w:rsidRPr="006A10E4">
              <w:rPr>
                <w:rFonts w:asciiTheme="minorHAnsi" w:hAnsiTheme="minorHAnsi" w:cstheme="minorHAnsi"/>
                <w:szCs w:val="22"/>
              </w:rPr>
              <w:t>HT (hors taxe)</w:t>
            </w:r>
          </w:p>
        </w:tc>
      </w:tr>
      <w:tr w:rsidR="00F52FB0" w:rsidRPr="00F52FB0" w14:paraId="0CA807A6" w14:textId="77777777" w:rsidTr="006A10E4">
        <w:tc>
          <w:tcPr>
            <w:tcW w:w="5670" w:type="dxa"/>
            <w:vAlign w:val="center"/>
          </w:tcPr>
          <w:p w14:paraId="2C1444E6" w14:textId="7216177E" w:rsidR="00F52FB0" w:rsidRPr="00F52FB0" w:rsidRDefault="00F52FB0" w:rsidP="006A10E4">
            <w:pPr>
              <w:pStyle w:val="v"/>
              <w:widowControl w:val="0"/>
              <w:spacing w:before="60" w:after="60"/>
              <w:ind w:left="0" w:firstLine="0"/>
              <w:jc w:val="left"/>
              <w:rPr>
                <w:rFonts w:asciiTheme="minorHAnsi" w:hAnsiTheme="minorHAnsi" w:cstheme="minorHAnsi"/>
                <w:szCs w:val="22"/>
              </w:rPr>
            </w:pPr>
            <w:r w:rsidRPr="00F52FB0">
              <w:rPr>
                <w:rFonts w:asciiTheme="minorHAnsi" w:hAnsiTheme="minorHAnsi" w:cstheme="minorHAnsi"/>
                <w:szCs w:val="22"/>
              </w:rPr>
              <w:t>P3 - Rapport d’appui au recrutement à  05 postes au sein de la Direction Financière de la DAF</w:t>
            </w:r>
          </w:p>
        </w:tc>
        <w:tc>
          <w:tcPr>
            <w:tcW w:w="1701" w:type="dxa"/>
          </w:tcPr>
          <w:p w14:paraId="20A3EA59" w14:textId="0C266A0E" w:rsidR="00F52FB0" w:rsidRPr="006A10E4" w:rsidRDefault="00F52FB0" w:rsidP="00F52FB0">
            <w:pPr>
              <w:pStyle w:val="v"/>
              <w:widowControl w:val="0"/>
              <w:spacing w:before="60" w:after="60"/>
              <w:ind w:left="0" w:firstLine="0"/>
              <w:jc w:val="center"/>
              <w:rPr>
                <w:rFonts w:asciiTheme="minorHAnsi" w:hAnsiTheme="minorHAnsi" w:cstheme="minorHAnsi"/>
                <w:szCs w:val="22"/>
              </w:rPr>
            </w:pPr>
            <w:r w:rsidRPr="006A10E4">
              <w:rPr>
                <w:rFonts w:asciiTheme="minorHAnsi" w:hAnsiTheme="minorHAnsi" w:cstheme="minorHAnsi"/>
                <w:szCs w:val="22"/>
              </w:rPr>
              <w:t>Prix forfaitaire</w:t>
            </w:r>
          </w:p>
        </w:tc>
        <w:tc>
          <w:tcPr>
            <w:tcW w:w="2410" w:type="dxa"/>
            <w:vAlign w:val="center"/>
          </w:tcPr>
          <w:p w14:paraId="4B62140D" w14:textId="684ECC6E" w:rsidR="00F52FB0" w:rsidRPr="006A10E4" w:rsidRDefault="005D176A" w:rsidP="00F52FB0">
            <w:pPr>
              <w:pStyle w:val="v"/>
              <w:widowControl w:val="0"/>
              <w:spacing w:before="60" w:after="60"/>
              <w:ind w:left="0" w:firstLine="0"/>
              <w:jc w:val="right"/>
              <w:rPr>
                <w:rFonts w:asciiTheme="minorHAnsi" w:hAnsiTheme="minorHAnsi" w:cstheme="minorHAnsi"/>
                <w:szCs w:val="22"/>
              </w:rPr>
            </w:pPr>
            <w:r>
              <w:rPr>
                <w:rFonts w:asciiTheme="minorHAnsi" w:hAnsiTheme="minorHAnsi" w:cstheme="minorHAnsi"/>
                <w:szCs w:val="22"/>
              </w:rPr>
              <w:t>$</w:t>
            </w:r>
            <w:r w:rsidRPr="006A10E4">
              <w:rPr>
                <w:rFonts w:asciiTheme="minorHAnsi" w:hAnsiTheme="minorHAnsi" w:cstheme="minorHAnsi"/>
                <w:szCs w:val="22"/>
              </w:rPr>
              <w:t xml:space="preserve"> </w:t>
            </w:r>
            <w:r w:rsidR="00F52FB0" w:rsidRPr="006A10E4">
              <w:rPr>
                <w:rFonts w:asciiTheme="minorHAnsi" w:hAnsiTheme="minorHAnsi" w:cstheme="minorHAnsi"/>
                <w:szCs w:val="22"/>
              </w:rPr>
              <w:t>HT (hors taxe)</w:t>
            </w:r>
          </w:p>
        </w:tc>
      </w:tr>
      <w:tr w:rsidR="00F52FB0" w:rsidRPr="00F52FB0" w14:paraId="7A5B629E" w14:textId="77777777" w:rsidTr="006A10E4">
        <w:tc>
          <w:tcPr>
            <w:tcW w:w="5670" w:type="dxa"/>
            <w:vAlign w:val="center"/>
          </w:tcPr>
          <w:p w14:paraId="47D58717" w14:textId="11448F57" w:rsidR="00F52FB0" w:rsidRPr="00F52FB0" w:rsidRDefault="00F52FB0" w:rsidP="006A10E4">
            <w:pPr>
              <w:pStyle w:val="v"/>
              <w:widowControl w:val="0"/>
              <w:spacing w:before="60" w:after="60"/>
              <w:ind w:left="0" w:firstLine="0"/>
              <w:jc w:val="left"/>
              <w:rPr>
                <w:rFonts w:asciiTheme="minorHAnsi" w:hAnsiTheme="minorHAnsi" w:cstheme="minorHAnsi"/>
                <w:szCs w:val="22"/>
              </w:rPr>
            </w:pPr>
            <w:r w:rsidRPr="00F52FB0">
              <w:rPr>
                <w:rFonts w:asciiTheme="minorHAnsi" w:hAnsiTheme="minorHAnsi" w:cstheme="minorHAnsi"/>
                <w:szCs w:val="22"/>
              </w:rPr>
              <w:t>P4 - Rapport d’appui à l’évaluation des compétences de la Direction Financière</w:t>
            </w:r>
          </w:p>
        </w:tc>
        <w:tc>
          <w:tcPr>
            <w:tcW w:w="1701" w:type="dxa"/>
          </w:tcPr>
          <w:p w14:paraId="65AC6282" w14:textId="38BF644B" w:rsidR="00F52FB0" w:rsidRPr="006A10E4" w:rsidRDefault="00F52FB0" w:rsidP="00F52FB0">
            <w:pPr>
              <w:pStyle w:val="v"/>
              <w:widowControl w:val="0"/>
              <w:spacing w:before="60" w:after="60"/>
              <w:ind w:left="0" w:firstLine="0"/>
              <w:jc w:val="center"/>
              <w:rPr>
                <w:rFonts w:asciiTheme="minorHAnsi" w:hAnsiTheme="minorHAnsi" w:cstheme="minorHAnsi"/>
                <w:szCs w:val="22"/>
              </w:rPr>
            </w:pPr>
            <w:r w:rsidRPr="006A10E4">
              <w:rPr>
                <w:rFonts w:asciiTheme="minorHAnsi" w:hAnsiTheme="minorHAnsi" w:cstheme="minorHAnsi"/>
                <w:szCs w:val="22"/>
              </w:rPr>
              <w:t>Prix forfaitaire</w:t>
            </w:r>
          </w:p>
        </w:tc>
        <w:tc>
          <w:tcPr>
            <w:tcW w:w="2410" w:type="dxa"/>
            <w:vAlign w:val="center"/>
          </w:tcPr>
          <w:p w14:paraId="214BF74F" w14:textId="3205825C" w:rsidR="00F52FB0" w:rsidRPr="006A10E4" w:rsidRDefault="005D176A" w:rsidP="00F52FB0">
            <w:pPr>
              <w:pStyle w:val="v"/>
              <w:widowControl w:val="0"/>
              <w:spacing w:before="60" w:after="60"/>
              <w:ind w:left="0" w:firstLine="0"/>
              <w:jc w:val="right"/>
              <w:rPr>
                <w:rFonts w:asciiTheme="minorHAnsi" w:hAnsiTheme="minorHAnsi" w:cstheme="minorHAnsi"/>
                <w:szCs w:val="22"/>
              </w:rPr>
            </w:pPr>
            <w:r>
              <w:rPr>
                <w:rFonts w:asciiTheme="minorHAnsi" w:hAnsiTheme="minorHAnsi" w:cstheme="minorHAnsi"/>
                <w:szCs w:val="22"/>
              </w:rPr>
              <w:t>$</w:t>
            </w:r>
            <w:r w:rsidRPr="006A10E4">
              <w:rPr>
                <w:rFonts w:asciiTheme="minorHAnsi" w:hAnsiTheme="minorHAnsi" w:cstheme="minorHAnsi"/>
                <w:szCs w:val="22"/>
              </w:rPr>
              <w:t xml:space="preserve"> </w:t>
            </w:r>
            <w:r w:rsidR="00F52FB0" w:rsidRPr="006A10E4">
              <w:rPr>
                <w:rFonts w:asciiTheme="minorHAnsi" w:hAnsiTheme="minorHAnsi" w:cstheme="minorHAnsi"/>
                <w:szCs w:val="22"/>
              </w:rPr>
              <w:t>HT (hors taxe)</w:t>
            </w:r>
          </w:p>
        </w:tc>
      </w:tr>
      <w:tr w:rsidR="00F52FB0" w:rsidRPr="00F52FB0" w14:paraId="76ED208A" w14:textId="77777777" w:rsidTr="006A10E4">
        <w:tc>
          <w:tcPr>
            <w:tcW w:w="5670" w:type="dxa"/>
            <w:vAlign w:val="center"/>
          </w:tcPr>
          <w:p w14:paraId="5D58086B" w14:textId="317F536C" w:rsidR="00F52FB0" w:rsidRPr="00F52FB0" w:rsidRDefault="00F52FB0" w:rsidP="006A10E4">
            <w:pPr>
              <w:pStyle w:val="v"/>
              <w:widowControl w:val="0"/>
              <w:spacing w:before="60" w:after="60"/>
              <w:ind w:left="0" w:firstLine="0"/>
              <w:jc w:val="left"/>
              <w:rPr>
                <w:rFonts w:asciiTheme="minorHAnsi" w:hAnsiTheme="minorHAnsi" w:cstheme="minorHAnsi"/>
                <w:szCs w:val="22"/>
              </w:rPr>
            </w:pPr>
            <w:r w:rsidRPr="00F52FB0">
              <w:rPr>
                <w:rFonts w:asciiTheme="minorHAnsi" w:hAnsiTheme="minorHAnsi" w:cstheme="minorHAnsi"/>
                <w:szCs w:val="22"/>
              </w:rPr>
              <w:t>P5 - Rapport de certification des décomptes présenté au comité de pilotage</w:t>
            </w:r>
          </w:p>
        </w:tc>
        <w:tc>
          <w:tcPr>
            <w:tcW w:w="1701" w:type="dxa"/>
          </w:tcPr>
          <w:p w14:paraId="1547D3C8" w14:textId="2177567B" w:rsidR="00F52FB0" w:rsidRPr="006A10E4" w:rsidRDefault="00F52FB0" w:rsidP="00F52FB0">
            <w:pPr>
              <w:pStyle w:val="v"/>
              <w:widowControl w:val="0"/>
              <w:spacing w:before="60" w:after="60"/>
              <w:ind w:left="0" w:firstLine="0"/>
              <w:jc w:val="center"/>
              <w:rPr>
                <w:rFonts w:asciiTheme="minorHAnsi" w:hAnsiTheme="minorHAnsi" w:cstheme="minorHAnsi"/>
                <w:szCs w:val="22"/>
              </w:rPr>
            </w:pPr>
            <w:r w:rsidRPr="006A10E4">
              <w:rPr>
                <w:rFonts w:asciiTheme="minorHAnsi" w:hAnsiTheme="minorHAnsi" w:cstheme="minorHAnsi"/>
                <w:szCs w:val="22"/>
              </w:rPr>
              <w:t>Prix forfaitaire</w:t>
            </w:r>
          </w:p>
        </w:tc>
        <w:tc>
          <w:tcPr>
            <w:tcW w:w="2410" w:type="dxa"/>
            <w:vAlign w:val="center"/>
          </w:tcPr>
          <w:p w14:paraId="7F944A23" w14:textId="1866DA91" w:rsidR="00F52FB0" w:rsidRPr="006A10E4" w:rsidRDefault="005D176A" w:rsidP="00F52FB0">
            <w:pPr>
              <w:pStyle w:val="v"/>
              <w:widowControl w:val="0"/>
              <w:spacing w:before="60" w:after="60"/>
              <w:ind w:left="0" w:firstLine="0"/>
              <w:jc w:val="right"/>
              <w:rPr>
                <w:rFonts w:asciiTheme="minorHAnsi" w:hAnsiTheme="minorHAnsi" w:cstheme="minorHAnsi"/>
                <w:szCs w:val="22"/>
              </w:rPr>
            </w:pPr>
            <w:r>
              <w:rPr>
                <w:rFonts w:asciiTheme="minorHAnsi" w:hAnsiTheme="minorHAnsi" w:cstheme="minorHAnsi"/>
                <w:szCs w:val="22"/>
              </w:rPr>
              <w:t>$</w:t>
            </w:r>
            <w:r w:rsidRPr="006A10E4">
              <w:rPr>
                <w:rFonts w:asciiTheme="minorHAnsi" w:hAnsiTheme="minorHAnsi" w:cstheme="minorHAnsi"/>
                <w:szCs w:val="22"/>
              </w:rPr>
              <w:t xml:space="preserve"> </w:t>
            </w:r>
            <w:r w:rsidR="00F52FB0" w:rsidRPr="006A10E4">
              <w:rPr>
                <w:rFonts w:asciiTheme="minorHAnsi" w:hAnsiTheme="minorHAnsi" w:cstheme="minorHAnsi"/>
                <w:szCs w:val="22"/>
              </w:rPr>
              <w:t>HT (hors taxe)</w:t>
            </w:r>
          </w:p>
        </w:tc>
      </w:tr>
      <w:tr w:rsidR="00F52FB0" w:rsidRPr="00F52FB0" w14:paraId="6DD1624F" w14:textId="77777777" w:rsidTr="006A10E4">
        <w:tc>
          <w:tcPr>
            <w:tcW w:w="5670" w:type="dxa"/>
            <w:vAlign w:val="center"/>
          </w:tcPr>
          <w:p w14:paraId="1B9DFF0E" w14:textId="772057D7" w:rsidR="00F52FB0" w:rsidRPr="00F52FB0" w:rsidRDefault="00F52FB0" w:rsidP="006A10E4">
            <w:pPr>
              <w:pStyle w:val="v"/>
              <w:widowControl w:val="0"/>
              <w:spacing w:before="60" w:after="60"/>
              <w:ind w:left="0" w:firstLine="0"/>
              <w:jc w:val="left"/>
              <w:rPr>
                <w:rFonts w:asciiTheme="minorHAnsi" w:hAnsiTheme="minorHAnsi" w:cstheme="minorHAnsi"/>
                <w:szCs w:val="22"/>
              </w:rPr>
            </w:pPr>
            <w:r w:rsidRPr="00F52FB0">
              <w:rPr>
                <w:rFonts w:asciiTheme="minorHAnsi" w:hAnsiTheme="minorHAnsi" w:cstheme="minorHAnsi"/>
                <w:szCs w:val="22"/>
              </w:rPr>
              <w:lastRenderedPageBreak/>
              <w:t>P6 - Rapport d’audit des coûts de départ présenté au comité de pilotage</w:t>
            </w:r>
          </w:p>
        </w:tc>
        <w:tc>
          <w:tcPr>
            <w:tcW w:w="1701" w:type="dxa"/>
          </w:tcPr>
          <w:p w14:paraId="174E715D" w14:textId="4C8B5578" w:rsidR="00F52FB0" w:rsidRPr="006A10E4" w:rsidRDefault="00F52FB0" w:rsidP="00F52FB0">
            <w:pPr>
              <w:pStyle w:val="v"/>
              <w:widowControl w:val="0"/>
              <w:spacing w:before="60" w:after="60"/>
              <w:ind w:left="0" w:firstLine="0"/>
              <w:jc w:val="center"/>
              <w:rPr>
                <w:rFonts w:asciiTheme="minorHAnsi" w:hAnsiTheme="minorHAnsi" w:cstheme="minorHAnsi"/>
                <w:szCs w:val="22"/>
              </w:rPr>
            </w:pPr>
            <w:r w:rsidRPr="006A10E4">
              <w:rPr>
                <w:rFonts w:asciiTheme="minorHAnsi" w:hAnsiTheme="minorHAnsi" w:cstheme="minorHAnsi"/>
                <w:szCs w:val="22"/>
              </w:rPr>
              <w:t>Prix forfaitaire</w:t>
            </w:r>
          </w:p>
        </w:tc>
        <w:tc>
          <w:tcPr>
            <w:tcW w:w="2410" w:type="dxa"/>
            <w:vAlign w:val="center"/>
          </w:tcPr>
          <w:p w14:paraId="375FB5E2" w14:textId="3FFDE004" w:rsidR="00F52FB0" w:rsidRPr="006A10E4" w:rsidRDefault="005D176A" w:rsidP="00F52FB0">
            <w:pPr>
              <w:pStyle w:val="v"/>
              <w:widowControl w:val="0"/>
              <w:spacing w:before="60" w:after="60"/>
              <w:ind w:left="0" w:firstLine="0"/>
              <w:jc w:val="right"/>
              <w:rPr>
                <w:rFonts w:asciiTheme="minorHAnsi" w:hAnsiTheme="minorHAnsi" w:cstheme="minorHAnsi"/>
                <w:szCs w:val="22"/>
              </w:rPr>
            </w:pPr>
            <w:r>
              <w:rPr>
                <w:rFonts w:asciiTheme="minorHAnsi" w:hAnsiTheme="minorHAnsi" w:cstheme="minorHAnsi"/>
                <w:szCs w:val="22"/>
              </w:rPr>
              <w:t>$</w:t>
            </w:r>
            <w:r w:rsidRPr="006A10E4">
              <w:rPr>
                <w:rFonts w:asciiTheme="minorHAnsi" w:hAnsiTheme="minorHAnsi" w:cstheme="minorHAnsi"/>
                <w:szCs w:val="22"/>
              </w:rPr>
              <w:t xml:space="preserve"> </w:t>
            </w:r>
            <w:r w:rsidR="00F52FB0" w:rsidRPr="006A10E4">
              <w:rPr>
                <w:rFonts w:asciiTheme="minorHAnsi" w:hAnsiTheme="minorHAnsi" w:cstheme="minorHAnsi"/>
                <w:szCs w:val="22"/>
              </w:rPr>
              <w:t>HT (hors taxe)</w:t>
            </w:r>
          </w:p>
        </w:tc>
      </w:tr>
      <w:tr w:rsidR="00F52FB0" w:rsidRPr="00F52FB0" w14:paraId="2631AE35" w14:textId="77777777" w:rsidTr="006A10E4">
        <w:tc>
          <w:tcPr>
            <w:tcW w:w="5670" w:type="dxa"/>
            <w:vAlign w:val="center"/>
          </w:tcPr>
          <w:p w14:paraId="7E31D205" w14:textId="4DCD4C5F" w:rsidR="00F52FB0" w:rsidRPr="00F52FB0" w:rsidRDefault="00F52FB0" w:rsidP="006A10E4">
            <w:pPr>
              <w:pStyle w:val="v"/>
              <w:widowControl w:val="0"/>
              <w:spacing w:before="60" w:after="60"/>
              <w:ind w:left="0" w:firstLine="0"/>
              <w:jc w:val="left"/>
              <w:rPr>
                <w:rFonts w:asciiTheme="minorHAnsi" w:hAnsiTheme="minorHAnsi" w:cstheme="minorHAnsi"/>
                <w:szCs w:val="22"/>
              </w:rPr>
            </w:pPr>
            <w:r w:rsidRPr="00F52FB0">
              <w:rPr>
                <w:rFonts w:asciiTheme="minorHAnsi" w:hAnsiTheme="minorHAnsi" w:cstheme="minorHAnsi"/>
                <w:szCs w:val="22"/>
              </w:rPr>
              <w:t>P7 - Une proposition de plan de départ volontaire présenté au comité de pilotage</w:t>
            </w:r>
          </w:p>
        </w:tc>
        <w:tc>
          <w:tcPr>
            <w:tcW w:w="1701" w:type="dxa"/>
          </w:tcPr>
          <w:p w14:paraId="5852FBDB" w14:textId="185AB6F6" w:rsidR="00F52FB0" w:rsidRPr="006A10E4" w:rsidRDefault="00F52FB0" w:rsidP="00F52FB0">
            <w:pPr>
              <w:pStyle w:val="v"/>
              <w:widowControl w:val="0"/>
              <w:spacing w:before="60" w:after="60"/>
              <w:ind w:left="0" w:firstLine="0"/>
              <w:jc w:val="center"/>
              <w:rPr>
                <w:rFonts w:asciiTheme="minorHAnsi" w:hAnsiTheme="minorHAnsi" w:cstheme="minorHAnsi"/>
                <w:szCs w:val="22"/>
              </w:rPr>
            </w:pPr>
            <w:r w:rsidRPr="006A10E4">
              <w:rPr>
                <w:rFonts w:asciiTheme="minorHAnsi" w:hAnsiTheme="minorHAnsi" w:cstheme="minorHAnsi"/>
                <w:szCs w:val="22"/>
              </w:rPr>
              <w:t>Prix forfaitaire</w:t>
            </w:r>
          </w:p>
        </w:tc>
        <w:tc>
          <w:tcPr>
            <w:tcW w:w="2410" w:type="dxa"/>
            <w:vAlign w:val="center"/>
          </w:tcPr>
          <w:p w14:paraId="0294EC16" w14:textId="0987DC36" w:rsidR="00F52FB0" w:rsidRPr="006A10E4" w:rsidRDefault="005D176A" w:rsidP="00F52FB0">
            <w:pPr>
              <w:pStyle w:val="v"/>
              <w:widowControl w:val="0"/>
              <w:spacing w:before="60" w:after="60"/>
              <w:ind w:left="0" w:firstLine="0"/>
              <w:jc w:val="right"/>
              <w:rPr>
                <w:rFonts w:asciiTheme="minorHAnsi" w:hAnsiTheme="minorHAnsi" w:cstheme="minorHAnsi"/>
                <w:szCs w:val="22"/>
              </w:rPr>
            </w:pPr>
            <w:r>
              <w:rPr>
                <w:rFonts w:asciiTheme="minorHAnsi" w:hAnsiTheme="minorHAnsi" w:cstheme="minorHAnsi"/>
                <w:szCs w:val="22"/>
              </w:rPr>
              <w:t>$</w:t>
            </w:r>
            <w:r w:rsidRPr="006A10E4">
              <w:rPr>
                <w:rFonts w:asciiTheme="minorHAnsi" w:hAnsiTheme="minorHAnsi" w:cstheme="minorHAnsi"/>
                <w:szCs w:val="22"/>
              </w:rPr>
              <w:t xml:space="preserve"> </w:t>
            </w:r>
            <w:r w:rsidR="00F52FB0" w:rsidRPr="006A10E4">
              <w:rPr>
                <w:rFonts w:asciiTheme="minorHAnsi" w:hAnsiTheme="minorHAnsi" w:cstheme="minorHAnsi"/>
                <w:szCs w:val="22"/>
              </w:rPr>
              <w:t>HT (hors taxe)</w:t>
            </w:r>
          </w:p>
        </w:tc>
      </w:tr>
      <w:tr w:rsidR="00F52FB0" w:rsidRPr="00F52FB0" w14:paraId="1A894F33" w14:textId="77777777" w:rsidTr="006A10E4">
        <w:tc>
          <w:tcPr>
            <w:tcW w:w="5670" w:type="dxa"/>
            <w:vAlign w:val="center"/>
          </w:tcPr>
          <w:p w14:paraId="4D7E2A05" w14:textId="627FC0DB" w:rsidR="00F52FB0" w:rsidRPr="00F52FB0" w:rsidRDefault="00F52FB0" w:rsidP="006A10E4">
            <w:pPr>
              <w:pStyle w:val="v"/>
              <w:widowControl w:val="0"/>
              <w:spacing w:before="60" w:after="60"/>
              <w:ind w:left="0" w:firstLine="0"/>
              <w:jc w:val="left"/>
              <w:rPr>
                <w:rFonts w:asciiTheme="minorHAnsi" w:hAnsiTheme="minorHAnsi" w:cstheme="minorHAnsi"/>
                <w:szCs w:val="22"/>
              </w:rPr>
            </w:pPr>
            <w:r w:rsidRPr="00F52FB0">
              <w:rPr>
                <w:rFonts w:asciiTheme="minorHAnsi" w:hAnsiTheme="minorHAnsi" w:cstheme="minorHAnsi"/>
                <w:szCs w:val="22"/>
              </w:rPr>
              <w:t>P8 - Rapport final de la mission</w:t>
            </w:r>
          </w:p>
        </w:tc>
        <w:tc>
          <w:tcPr>
            <w:tcW w:w="1701" w:type="dxa"/>
          </w:tcPr>
          <w:p w14:paraId="7C1EF1FB" w14:textId="6B29B117" w:rsidR="00F52FB0" w:rsidRPr="006A10E4" w:rsidRDefault="00F52FB0" w:rsidP="00F52FB0">
            <w:pPr>
              <w:pStyle w:val="v"/>
              <w:widowControl w:val="0"/>
              <w:spacing w:before="60" w:after="60"/>
              <w:ind w:left="0" w:firstLine="0"/>
              <w:jc w:val="center"/>
              <w:rPr>
                <w:rFonts w:asciiTheme="minorHAnsi" w:hAnsiTheme="minorHAnsi" w:cstheme="minorHAnsi"/>
                <w:szCs w:val="22"/>
              </w:rPr>
            </w:pPr>
            <w:r w:rsidRPr="006A10E4">
              <w:rPr>
                <w:rFonts w:asciiTheme="minorHAnsi" w:hAnsiTheme="minorHAnsi" w:cstheme="minorHAnsi"/>
                <w:szCs w:val="22"/>
              </w:rPr>
              <w:t>Prix forfaitaire</w:t>
            </w:r>
          </w:p>
        </w:tc>
        <w:tc>
          <w:tcPr>
            <w:tcW w:w="2410" w:type="dxa"/>
            <w:vAlign w:val="center"/>
          </w:tcPr>
          <w:p w14:paraId="4A36272A" w14:textId="3C17C687" w:rsidR="00F52FB0" w:rsidRPr="006A10E4" w:rsidRDefault="005D176A" w:rsidP="00F52FB0">
            <w:pPr>
              <w:pStyle w:val="v"/>
              <w:widowControl w:val="0"/>
              <w:spacing w:before="60" w:after="60"/>
              <w:ind w:left="0" w:firstLine="0"/>
              <w:jc w:val="right"/>
              <w:rPr>
                <w:rFonts w:asciiTheme="minorHAnsi" w:hAnsiTheme="minorHAnsi" w:cstheme="minorHAnsi"/>
                <w:szCs w:val="22"/>
              </w:rPr>
            </w:pPr>
            <w:r>
              <w:rPr>
                <w:rFonts w:asciiTheme="minorHAnsi" w:hAnsiTheme="minorHAnsi" w:cstheme="minorHAnsi"/>
                <w:szCs w:val="22"/>
              </w:rPr>
              <w:t>$</w:t>
            </w:r>
            <w:r w:rsidRPr="006A10E4">
              <w:rPr>
                <w:rFonts w:asciiTheme="minorHAnsi" w:hAnsiTheme="minorHAnsi" w:cstheme="minorHAnsi"/>
                <w:szCs w:val="22"/>
              </w:rPr>
              <w:t xml:space="preserve"> </w:t>
            </w:r>
            <w:r w:rsidR="00F52FB0" w:rsidRPr="006A10E4">
              <w:rPr>
                <w:rFonts w:asciiTheme="minorHAnsi" w:hAnsiTheme="minorHAnsi" w:cstheme="minorHAnsi"/>
                <w:szCs w:val="22"/>
              </w:rPr>
              <w:t>HT (hors taxe)</w:t>
            </w:r>
          </w:p>
        </w:tc>
      </w:tr>
      <w:tr w:rsidR="00F53E95" w:rsidRPr="00F52FB0" w14:paraId="5192BF05" w14:textId="77777777" w:rsidTr="006A10E4">
        <w:tc>
          <w:tcPr>
            <w:tcW w:w="5670" w:type="dxa"/>
            <w:tcBorders>
              <w:left w:val="nil"/>
              <w:right w:val="nil"/>
            </w:tcBorders>
            <w:vAlign w:val="center"/>
          </w:tcPr>
          <w:p w14:paraId="6F1DCD80" w14:textId="77777777" w:rsidR="00F53E95" w:rsidRPr="006A10E4" w:rsidRDefault="00F53E95" w:rsidP="00F53E95">
            <w:pPr>
              <w:pStyle w:val="v"/>
              <w:widowControl w:val="0"/>
              <w:spacing w:before="60" w:after="60"/>
              <w:ind w:left="0" w:firstLine="0"/>
              <w:jc w:val="left"/>
              <w:rPr>
                <w:rFonts w:asciiTheme="minorHAnsi" w:hAnsiTheme="minorHAnsi" w:cstheme="minorHAnsi"/>
                <w:szCs w:val="22"/>
              </w:rPr>
            </w:pPr>
          </w:p>
        </w:tc>
        <w:tc>
          <w:tcPr>
            <w:tcW w:w="1701" w:type="dxa"/>
            <w:tcBorders>
              <w:left w:val="nil"/>
              <w:right w:val="nil"/>
            </w:tcBorders>
            <w:vAlign w:val="center"/>
          </w:tcPr>
          <w:p w14:paraId="656191E5" w14:textId="77777777" w:rsidR="00F53E95" w:rsidRPr="006A10E4" w:rsidRDefault="00F53E95" w:rsidP="00F53E95">
            <w:pPr>
              <w:pStyle w:val="v"/>
              <w:widowControl w:val="0"/>
              <w:spacing w:before="60" w:after="60"/>
              <w:ind w:left="0" w:firstLine="0"/>
              <w:jc w:val="right"/>
              <w:rPr>
                <w:rFonts w:asciiTheme="minorHAnsi" w:hAnsiTheme="minorHAnsi" w:cstheme="minorHAnsi"/>
                <w:szCs w:val="22"/>
              </w:rPr>
            </w:pPr>
          </w:p>
        </w:tc>
        <w:tc>
          <w:tcPr>
            <w:tcW w:w="2410" w:type="dxa"/>
            <w:tcBorders>
              <w:left w:val="nil"/>
              <w:right w:val="nil"/>
            </w:tcBorders>
            <w:vAlign w:val="center"/>
          </w:tcPr>
          <w:p w14:paraId="6B26FBB2" w14:textId="77777777" w:rsidR="00F53E95" w:rsidRPr="006A10E4" w:rsidRDefault="00F53E95" w:rsidP="00F53E95">
            <w:pPr>
              <w:pStyle w:val="v"/>
              <w:widowControl w:val="0"/>
              <w:spacing w:before="60" w:after="60"/>
              <w:ind w:left="0" w:firstLine="0"/>
              <w:jc w:val="center"/>
              <w:rPr>
                <w:rFonts w:asciiTheme="minorHAnsi" w:hAnsiTheme="minorHAnsi" w:cstheme="minorHAnsi"/>
                <w:szCs w:val="22"/>
              </w:rPr>
            </w:pPr>
          </w:p>
        </w:tc>
      </w:tr>
      <w:tr w:rsidR="00F53E95" w:rsidRPr="00A86E43" w14:paraId="30932CA7" w14:textId="77777777" w:rsidTr="006A10E4">
        <w:tc>
          <w:tcPr>
            <w:tcW w:w="7371" w:type="dxa"/>
            <w:gridSpan w:val="2"/>
            <w:vAlign w:val="center"/>
          </w:tcPr>
          <w:p w14:paraId="05B6F744" w14:textId="77777777" w:rsidR="00F53E95" w:rsidRPr="006A10E4" w:rsidRDefault="00F53E95" w:rsidP="00F53E95">
            <w:pPr>
              <w:pStyle w:val="v"/>
              <w:widowControl w:val="0"/>
              <w:spacing w:before="60" w:after="60"/>
              <w:ind w:left="0" w:firstLine="0"/>
              <w:jc w:val="right"/>
              <w:rPr>
                <w:rFonts w:asciiTheme="minorHAnsi" w:hAnsiTheme="minorHAnsi" w:cstheme="minorHAnsi"/>
                <w:b/>
                <w:szCs w:val="22"/>
              </w:rPr>
            </w:pPr>
            <w:r w:rsidRPr="006A10E4">
              <w:rPr>
                <w:rFonts w:asciiTheme="minorHAnsi" w:hAnsiTheme="minorHAnsi" w:cstheme="minorHAnsi"/>
                <w:b/>
                <w:szCs w:val="22"/>
              </w:rPr>
              <w:t>MONTANT MAXIMAL DU CONTRAT</w:t>
            </w:r>
          </w:p>
        </w:tc>
        <w:tc>
          <w:tcPr>
            <w:tcW w:w="2410" w:type="dxa"/>
            <w:vAlign w:val="center"/>
          </w:tcPr>
          <w:p w14:paraId="57389403" w14:textId="77280ABF" w:rsidR="00F53E95" w:rsidRPr="006A10E4" w:rsidRDefault="005D176A" w:rsidP="00F53E95">
            <w:pPr>
              <w:pStyle w:val="v"/>
              <w:widowControl w:val="0"/>
              <w:spacing w:before="60" w:after="60"/>
              <w:ind w:left="0" w:firstLine="0"/>
              <w:jc w:val="right"/>
              <w:rPr>
                <w:rFonts w:asciiTheme="minorHAnsi" w:hAnsiTheme="minorHAnsi" w:cstheme="minorHAnsi"/>
                <w:szCs w:val="22"/>
              </w:rPr>
            </w:pPr>
            <w:r>
              <w:rPr>
                <w:rFonts w:asciiTheme="minorHAnsi" w:hAnsiTheme="minorHAnsi" w:cstheme="minorHAnsi"/>
                <w:szCs w:val="22"/>
              </w:rPr>
              <w:t>$</w:t>
            </w:r>
            <w:r w:rsidRPr="006A10E4">
              <w:rPr>
                <w:rFonts w:asciiTheme="minorHAnsi" w:hAnsiTheme="minorHAnsi" w:cstheme="minorHAnsi"/>
                <w:szCs w:val="22"/>
              </w:rPr>
              <w:t xml:space="preserve"> </w:t>
            </w:r>
            <w:r w:rsidR="00F53E95" w:rsidRPr="006A10E4">
              <w:rPr>
                <w:rFonts w:asciiTheme="minorHAnsi" w:hAnsiTheme="minorHAnsi" w:cstheme="minorHAnsi"/>
                <w:szCs w:val="22"/>
              </w:rPr>
              <w:t>HT (hors taxe)</w:t>
            </w:r>
          </w:p>
        </w:tc>
      </w:tr>
    </w:tbl>
    <w:p w14:paraId="1924DC49" w14:textId="08906B6F" w:rsidR="00A17DB1" w:rsidRPr="00A86E43" w:rsidRDefault="00F53E95" w:rsidP="00E15AB6">
      <w:pPr>
        <w:pStyle w:val="u"/>
        <w:widowControl w:val="0"/>
        <w:numPr>
          <w:ilvl w:val="12"/>
          <w:numId w:val="0"/>
        </w:numPr>
        <w:spacing w:before="240" w:after="120"/>
        <w:ind w:left="561"/>
        <w:rPr>
          <w:rFonts w:asciiTheme="minorHAnsi" w:hAnsiTheme="minorHAnsi" w:cstheme="minorHAnsi"/>
          <w:szCs w:val="22"/>
        </w:rPr>
      </w:pPr>
      <w:r w:rsidRPr="00A86E43">
        <w:rPr>
          <w:rFonts w:asciiTheme="minorHAnsi" w:hAnsiTheme="minorHAnsi" w:cstheme="minorHAnsi"/>
          <w:szCs w:val="22"/>
        </w:rPr>
        <w:t>Le prix forfaitaire de chaque poste correspond au montant qu’</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s’engage à payer après validation sans réserve de l’ensemble des fournitures et/ou des prestations attendues. Le prix étant forfaitaire, il inclut l’ensemble des frais liés à l’exécution des prestations et/ou à la livraison des fournitures correspondantes.</w:t>
      </w:r>
    </w:p>
    <w:p w14:paraId="1ABE3F59" w14:textId="77777777" w:rsidR="000A6D39" w:rsidRPr="00A86E43" w:rsidRDefault="000A6D39" w:rsidP="000A6D39">
      <w:pPr>
        <w:pStyle w:val="Titre2"/>
        <w:spacing w:before="120" w:after="60"/>
        <w:rPr>
          <w:rFonts w:asciiTheme="minorHAnsi" w:hAnsiTheme="minorHAnsi"/>
          <w:sz w:val="22"/>
        </w:rPr>
      </w:pPr>
      <w:bookmarkStart w:id="18" w:name="_Toc126921980"/>
      <w:bookmarkStart w:id="19" w:name="_Toc392669637"/>
      <w:r w:rsidRPr="00A86E43">
        <w:rPr>
          <w:rFonts w:asciiTheme="minorHAnsi" w:hAnsiTheme="minorHAnsi"/>
          <w:sz w:val="22"/>
        </w:rPr>
        <w:t>Avance</w:t>
      </w:r>
      <w:bookmarkEnd w:id="18"/>
    </w:p>
    <w:p w14:paraId="7F0B4CD2" w14:textId="4F7BF84D" w:rsidR="005801E5" w:rsidRDefault="005801E5" w:rsidP="005801E5">
      <w:pPr>
        <w:pStyle w:val="u"/>
        <w:widowControl w:val="0"/>
        <w:jc w:val="left"/>
        <w:rPr>
          <w:rFonts w:ascii="Calibri" w:hAnsi="Calibri" w:cs="Calibri"/>
        </w:rPr>
      </w:pPr>
      <w:r>
        <w:rPr>
          <w:rFonts w:ascii="Calibri" w:hAnsi="Calibri" w:cs="Calibri"/>
        </w:rPr>
        <w:t xml:space="preserve">Une avance de maximum 20 % est accordée au </w:t>
      </w:r>
      <w:r>
        <w:rPr>
          <w:rFonts w:ascii="Calibri" w:hAnsi="Calibri" w:cs="Calibri"/>
          <w:smallCaps/>
        </w:rPr>
        <w:t>Contractant</w:t>
      </w:r>
      <w:r>
        <w:rPr>
          <w:rFonts w:ascii="Calibri" w:hAnsi="Calibri" w:cs="Calibri"/>
        </w:rPr>
        <w:t xml:space="preserve"> à compter de la notification du présent Contrat après réception d’une facture d’avance accompagnée d’une garantie bancaire couvrant le montant de l’avance demandée. </w:t>
      </w:r>
    </w:p>
    <w:p w14:paraId="2F6D118C" w14:textId="0C183E2C" w:rsidR="00AA21AB" w:rsidRDefault="005801E5" w:rsidP="005801E5">
      <w:pPr>
        <w:pStyle w:val="u"/>
        <w:widowControl w:val="0"/>
        <w:numPr>
          <w:ilvl w:val="12"/>
          <w:numId w:val="0"/>
        </w:numPr>
        <w:spacing w:after="120"/>
        <w:ind w:left="561"/>
        <w:jc w:val="left"/>
        <w:rPr>
          <w:rFonts w:asciiTheme="minorHAnsi" w:hAnsiTheme="minorHAnsi" w:cstheme="minorHAnsi"/>
          <w:szCs w:val="22"/>
        </w:rPr>
      </w:pPr>
      <w:r>
        <w:rPr>
          <w:rFonts w:ascii="Calibri" w:hAnsi="Calibri" w:cs="Calibri"/>
        </w:rPr>
        <w:t>L’avance doit être entièrement reversée lorsque le montant du cumul des paiements atteint 60% du montant du contrat.</w:t>
      </w:r>
      <w:commentRangeStart w:id="20"/>
      <w:r>
        <w:rPr>
          <w:rFonts w:asciiTheme="minorHAnsi" w:hAnsiTheme="minorHAnsi" w:cstheme="minorHAnsi"/>
          <w:szCs w:val="22"/>
        </w:rPr>
        <w:t xml:space="preserve"> </w:t>
      </w:r>
      <w:commentRangeEnd w:id="20"/>
    </w:p>
    <w:p w14:paraId="0646EE39" w14:textId="77777777" w:rsidR="002712EA" w:rsidRPr="00A86E43" w:rsidRDefault="002712EA" w:rsidP="002712EA">
      <w:pPr>
        <w:pStyle w:val="Titre2"/>
        <w:spacing w:before="120" w:after="60"/>
        <w:rPr>
          <w:rFonts w:asciiTheme="minorHAnsi" w:hAnsiTheme="minorHAnsi"/>
          <w:sz w:val="22"/>
        </w:rPr>
      </w:pPr>
      <w:bookmarkStart w:id="21" w:name="_Toc126921981"/>
      <w:r w:rsidRPr="00A86E43">
        <w:rPr>
          <w:rFonts w:asciiTheme="minorHAnsi" w:hAnsiTheme="minorHAnsi"/>
          <w:sz w:val="22"/>
        </w:rPr>
        <w:t>Modalités de paiement</w:t>
      </w:r>
      <w:bookmarkEnd w:id="21"/>
    </w:p>
    <w:p w14:paraId="0E5F4C1E"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78F7C4A1" w14:textId="6293D511" w:rsidR="007B473C" w:rsidRPr="00A86E43" w:rsidRDefault="00E637E0"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Chaque </w:t>
      </w:r>
      <w:r w:rsidR="007B473C" w:rsidRPr="00A86E43">
        <w:rPr>
          <w:rFonts w:asciiTheme="minorHAnsi" w:hAnsiTheme="minorHAnsi" w:cs="Arial"/>
        </w:rPr>
        <w:t xml:space="preserve">poste </w:t>
      </w:r>
      <w:r w:rsidRPr="00A86E43">
        <w:rPr>
          <w:rFonts w:asciiTheme="minorHAnsi" w:hAnsiTheme="minorHAnsi" w:cs="Arial"/>
        </w:rPr>
        <w:t xml:space="preserve">donne lieu à un paiement partiel définitif </w:t>
      </w:r>
      <w:r w:rsidR="00C650D5" w:rsidRPr="00A86E43">
        <w:rPr>
          <w:rFonts w:asciiTheme="minorHAnsi" w:hAnsiTheme="minorHAnsi" w:cs="Arial"/>
        </w:rPr>
        <w:t xml:space="preserve">correspondant au solde, </w:t>
      </w:r>
      <w:r w:rsidRPr="00A86E43">
        <w:rPr>
          <w:rFonts w:asciiTheme="minorHAnsi" w:hAnsiTheme="minorHAnsi" w:cs="Arial"/>
        </w:rPr>
        <w:t>effectué après réception et validation finale de l’ensemble d</w:t>
      </w:r>
      <w:r w:rsidR="007B473C" w:rsidRPr="00A86E43">
        <w:rPr>
          <w:rFonts w:asciiTheme="minorHAnsi" w:hAnsiTheme="minorHAnsi" w:cs="Arial"/>
        </w:rPr>
        <w:t xml:space="preserve">es prestations </w:t>
      </w:r>
      <w:r w:rsidR="004441AD" w:rsidRPr="00A86E43">
        <w:rPr>
          <w:rFonts w:asciiTheme="minorHAnsi" w:hAnsiTheme="minorHAnsi" w:cs="Arial"/>
        </w:rPr>
        <w:t xml:space="preserve">et fournitures </w:t>
      </w:r>
      <w:r w:rsidR="007B473C" w:rsidRPr="00A86E43">
        <w:rPr>
          <w:rFonts w:asciiTheme="minorHAnsi" w:hAnsiTheme="minorHAnsi" w:cs="Arial"/>
        </w:rPr>
        <w:t>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2" w:name="_Toc126921982"/>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2"/>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3" w:name="_Toc126921983"/>
      <w:r w:rsidRPr="00A86E43">
        <w:rPr>
          <w:rFonts w:asciiTheme="minorHAnsi" w:hAnsiTheme="minorHAnsi"/>
          <w:sz w:val="22"/>
        </w:rPr>
        <w:lastRenderedPageBreak/>
        <w:t>Présentation des demandes de paiement</w:t>
      </w:r>
      <w:bookmarkEnd w:id="23"/>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1C5E599D" w:rsidR="0007670D" w:rsidRPr="00A86E43" w:rsidRDefault="005D176A"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w:t>
      </w:r>
      <w:r w:rsidR="0007670D" w:rsidRPr="00A86E43">
        <w:rPr>
          <w:rFonts w:asciiTheme="minorHAnsi" w:eastAsia="Times New Roman" w:hAnsiTheme="minorHAnsi" w:cs="Arial"/>
          <w:sz w:val="22"/>
        </w:rPr>
        <w:t xml:space="preserv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6AA097E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w:t>
      </w:r>
      <w:r w:rsidR="005D176A" w:rsidRPr="00A86E43">
        <w:rPr>
          <w:rFonts w:asciiTheme="minorHAnsi" w:eastAsia="Times New Roman" w:hAnsiTheme="minorHAnsi" w:cstheme="minorHAnsi"/>
          <w:sz w:val="22"/>
        </w:rPr>
        <w:t>ou fournitures</w:t>
      </w:r>
      <w:r w:rsidRPr="00A86E43">
        <w:rPr>
          <w:rFonts w:asciiTheme="minorHAnsi" w:eastAsia="Times New Roman" w:hAnsiTheme="minorHAnsi" w:cstheme="minorHAnsi"/>
          <w:sz w:val="22"/>
        </w:rPr>
        <w:t xml:space="preserve"> vendues, et/ou des prestations effectuées...</w:t>
      </w:r>
    </w:p>
    <w:p w14:paraId="40629809" w14:textId="2DF057C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Si la domiciliation des paiements du titulaire n’est pas portée sur les factures, il sera joint un relevé ou une attestation d’identité bancaire ou postale, ainsi que </w:t>
      </w:r>
      <w:r w:rsidR="005D176A" w:rsidRPr="00A86E43">
        <w:rPr>
          <w:rFonts w:asciiTheme="minorHAnsi" w:eastAsia="Times New Roman" w:hAnsiTheme="minorHAnsi" w:cstheme="minorHAnsi"/>
          <w:sz w:val="22"/>
        </w:rPr>
        <w:t>la fiche tierce</w:t>
      </w:r>
      <w:r w:rsidRPr="00A86E43">
        <w:rPr>
          <w:rFonts w:asciiTheme="minorHAnsi" w:eastAsia="Times New Roman" w:hAnsiTheme="minorHAnsi" w:cstheme="minorHAnsi"/>
          <w:sz w:val="22"/>
        </w:rPr>
        <w:t xml:space="preserve">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4" w:name="_Toc126921984"/>
      <w:bookmarkStart w:id="25" w:name="_Toc344300189"/>
      <w:bookmarkEnd w:id="19"/>
      <w:r w:rsidRPr="00A86E43">
        <w:rPr>
          <w:rFonts w:asciiTheme="minorHAnsi" w:hAnsiTheme="minorHAnsi"/>
          <w:sz w:val="22"/>
        </w:rPr>
        <w:t>Virement bancaire</w:t>
      </w:r>
      <w:bookmarkEnd w:id="24"/>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la fiche tiers.</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lastRenderedPageBreak/>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6" w:name="_Toc126921985"/>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5"/>
      <w:bookmarkEnd w:id="26"/>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35CE810D" w14:textId="77777777" w:rsidR="0089576F" w:rsidRPr="00A86E43" w:rsidRDefault="0089576F"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7" w:name="_Toc392669638"/>
      <w:bookmarkStart w:id="28" w:name="_Toc126921986"/>
      <w:r w:rsidRPr="00A86E43">
        <w:rPr>
          <w:rFonts w:asciiTheme="minorHAnsi" w:hAnsiTheme="minorHAnsi"/>
          <w:sz w:val="22"/>
          <w:szCs w:val="22"/>
        </w:rPr>
        <w:t>Impôts et taxes</w:t>
      </w:r>
      <w:bookmarkEnd w:id="27"/>
      <w:bookmarkEnd w:id="28"/>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29" w:name="_Toc126921987"/>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29"/>
    </w:p>
    <w:p w14:paraId="47340EBA" w14:textId="77777777" w:rsidR="00F72033" w:rsidRPr="00A86E43" w:rsidRDefault="000243D6" w:rsidP="00A1761D">
      <w:pPr>
        <w:pStyle w:val="Titre2"/>
        <w:jc w:val="both"/>
        <w:rPr>
          <w:rFonts w:asciiTheme="minorHAnsi" w:hAnsiTheme="minorHAnsi" w:cstheme="minorHAnsi"/>
          <w:sz w:val="22"/>
          <w:szCs w:val="22"/>
        </w:rPr>
      </w:pPr>
      <w:bookmarkStart w:id="30" w:name="_Toc390691469"/>
      <w:bookmarkStart w:id="31" w:name="_Toc392669640"/>
      <w:bookmarkStart w:id="32" w:name="_Toc126921988"/>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0"/>
      <w:bookmarkEnd w:id="31"/>
      <w:bookmarkEnd w:id="32"/>
    </w:p>
    <w:p w14:paraId="3325C3B9" w14:textId="02D2AE81" w:rsidR="00F766D6" w:rsidRPr="0040302B"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CCAG-FCS</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Pr="00A86E43">
        <w:rPr>
          <w:rFonts w:asciiTheme="minorHAnsi" w:hAnsiTheme="minorHAnsi" w:cstheme="minorHAnsi"/>
          <w:szCs w:val="22"/>
        </w:rPr>
        <w:t xml:space="preserve">, les opérations de </w:t>
      </w:r>
      <w:r w:rsidRPr="0040302B">
        <w:rPr>
          <w:rFonts w:asciiTheme="minorHAnsi" w:hAnsiTheme="minorHAnsi" w:cstheme="minorHAnsi"/>
          <w:szCs w:val="22"/>
        </w:rPr>
        <w:t>vérification seront effectuées par :</w:t>
      </w:r>
    </w:p>
    <w:p w14:paraId="4AD254FE" w14:textId="677D3904" w:rsidR="00D00B3A" w:rsidRPr="0040302B" w:rsidRDefault="005D176A" w:rsidP="00A1761D">
      <w:pPr>
        <w:pStyle w:val="u"/>
        <w:widowControl w:val="0"/>
        <w:numPr>
          <w:ilvl w:val="0"/>
          <w:numId w:val="11"/>
        </w:numPr>
        <w:rPr>
          <w:rFonts w:asciiTheme="minorHAnsi" w:hAnsiTheme="minorHAnsi" w:cstheme="minorHAnsi"/>
          <w:szCs w:val="22"/>
        </w:rPr>
      </w:pPr>
      <w:r w:rsidRPr="0040302B">
        <w:rPr>
          <w:rFonts w:asciiTheme="minorHAnsi" w:hAnsiTheme="minorHAnsi" w:cstheme="minorHAnsi"/>
          <w:szCs w:val="22"/>
        </w:rPr>
        <w:t>Le</w:t>
      </w:r>
      <w:r w:rsidR="00F766D6" w:rsidRPr="0040302B">
        <w:rPr>
          <w:rFonts w:asciiTheme="minorHAnsi" w:hAnsiTheme="minorHAnsi" w:cstheme="minorHAnsi"/>
          <w:szCs w:val="22"/>
        </w:rPr>
        <w:t xml:space="preserve"> </w:t>
      </w:r>
      <w:r w:rsidR="00127A5B" w:rsidRPr="006A10E4">
        <w:rPr>
          <w:rFonts w:asciiTheme="minorHAnsi" w:hAnsiTheme="minorHAnsi" w:cstheme="minorHAnsi"/>
          <w:szCs w:val="22"/>
        </w:rPr>
        <w:t>C</w:t>
      </w:r>
      <w:r w:rsidR="00D00B3A" w:rsidRPr="006A10E4">
        <w:rPr>
          <w:rFonts w:asciiTheme="minorHAnsi" w:hAnsiTheme="minorHAnsi" w:cstheme="minorHAnsi"/>
          <w:szCs w:val="22"/>
        </w:rPr>
        <w:t>h</w:t>
      </w:r>
      <w:r w:rsidR="00DB700E" w:rsidRPr="006A10E4">
        <w:rPr>
          <w:rFonts w:asciiTheme="minorHAnsi" w:hAnsiTheme="minorHAnsi" w:cstheme="minorHAnsi"/>
          <w:szCs w:val="22"/>
        </w:rPr>
        <w:t xml:space="preserve">ef de projet </w:t>
      </w:r>
    </w:p>
    <w:p w14:paraId="02136460" w14:textId="4A014A76" w:rsidR="00F766D6" w:rsidRPr="00A86E43" w:rsidRDefault="005D176A" w:rsidP="00A1761D">
      <w:pPr>
        <w:pStyle w:val="u"/>
        <w:widowControl w:val="0"/>
        <w:numPr>
          <w:ilvl w:val="0"/>
          <w:numId w:val="11"/>
        </w:numPr>
        <w:rPr>
          <w:rFonts w:asciiTheme="minorHAnsi" w:hAnsiTheme="minorHAnsi" w:cstheme="minorHAnsi"/>
          <w:szCs w:val="22"/>
        </w:rPr>
      </w:pPr>
      <w:r w:rsidRPr="0040302B">
        <w:rPr>
          <w:rFonts w:asciiTheme="minorHAnsi" w:hAnsiTheme="minorHAnsi" w:cstheme="minorHAnsi"/>
          <w:szCs w:val="22"/>
        </w:rPr>
        <w:t>Le</w:t>
      </w:r>
      <w:r w:rsidR="00F766D6" w:rsidRPr="0040302B">
        <w:rPr>
          <w:rFonts w:asciiTheme="minorHAnsi" w:hAnsiTheme="minorHAnsi" w:cstheme="minorHAnsi"/>
          <w:szCs w:val="22"/>
        </w:rPr>
        <w:t xml:space="preserve"> </w:t>
      </w:r>
      <w:r w:rsidR="00DB700E" w:rsidRPr="0040302B">
        <w:rPr>
          <w:rFonts w:asciiTheme="minorHAnsi" w:hAnsiTheme="minorHAnsi" w:cstheme="minorHAnsi"/>
          <w:szCs w:val="22"/>
        </w:rPr>
        <w:t>Responsable de</w:t>
      </w:r>
      <w:r w:rsidR="00DB700E">
        <w:rPr>
          <w:rFonts w:asciiTheme="minorHAnsi" w:hAnsiTheme="minorHAnsi" w:cstheme="minorHAnsi"/>
          <w:szCs w:val="22"/>
        </w:rPr>
        <w:t xml:space="preserve"> la mobilisation des expertises</w:t>
      </w:r>
    </w:p>
    <w:p w14:paraId="3D6F3473" w14:textId="77777777"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3" w:name="_Toc126921990"/>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3"/>
    </w:p>
    <w:p w14:paraId="0CEF9F11" w14:textId="7DCCDD17" w:rsidR="000A6914" w:rsidRDefault="000A6914" w:rsidP="000A6914">
      <w:pPr>
        <w:pStyle w:val="Titre2"/>
        <w:spacing w:before="120" w:after="60"/>
        <w:rPr>
          <w:rFonts w:asciiTheme="minorHAnsi" w:hAnsiTheme="minorHAnsi" w:cstheme="minorHAnsi"/>
          <w:sz w:val="22"/>
          <w:szCs w:val="22"/>
        </w:rPr>
      </w:pPr>
      <w:bookmarkStart w:id="34" w:name="_Toc126921991"/>
      <w:bookmarkStart w:id="35" w:name="_Toc392669643"/>
      <w:r w:rsidRPr="00A86E43">
        <w:rPr>
          <w:rFonts w:asciiTheme="minorHAnsi" w:hAnsiTheme="minorHAnsi" w:cstheme="minorHAnsi"/>
          <w:sz w:val="22"/>
          <w:szCs w:val="22"/>
        </w:rPr>
        <w:t>Tableau des livrables</w:t>
      </w:r>
      <w:bookmarkEnd w:id="34"/>
    </w:p>
    <w:tbl>
      <w:tblPr>
        <w:tblStyle w:val="Grilledutableau"/>
        <w:tblW w:w="9133" w:type="dxa"/>
        <w:tblLook w:val="04A0" w:firstRow="1" w:lastRow="0" w:firstColumn="1" w:lastColumn="0" w:noHBand="0" w:noVBand="1"/>
      </w:tblPr>
      <w:tblGrid>
        <w:gridCol w:w="7006"/>
        <w:gridCol w:w="2127"/>
      </w:tblGrid>
      <w:tr w:rsidR="00DB700E" w:rsidRPr="00DB700E" w14:paraId="5E6EB218" w14:textId="77777777" w:rsidTr="006A10E4">
        <w:tc>
          <w:tcPr>
            <w:tcW w:w="7006" w:type="dxa"/>
          </w:tcPr>
          <w:p w14:paraId="51CC643A" w14:textId="5F86F230" w:rsidR="00DB700E" w:rsidRDefault="00DB700E" w:rsidP="00DB700E">
            <w:pPr>
              <w:spacing w:line="240" w:lineRule="auto"/>
              <w:contextualSpacing/>
              <w:jc w:val="both"/>
              <w:rPr>
                <w:rFonts w:ascii="Calibri" w:eastAsia="Arial Unicode MS" w:hAnsi="Calibri" w:cs="Arial Unicode MS"/>
                <w:b/>
                <w:sz w:val="22"/>
                <w:szCs w:val="22"/>
                <w:lang w:eastAsia="en-US"/>
              </w:rPr>
            </w:pPr>
            <w:r w:rsidRPr="00DB700E">
              <w:rPr>
                <w:rFonts w:ascii="Calibri" w:eastAsia="Arial Unicode MS" w:hAnsi="Calibri" w:cs="Arial Unicode MS"/>
                <w:sz w:val="22"/>
                <w:szCs w:val="22"/>
                <w:lang w:eastAsia="en-US"/>
              </w:rPr>
              <w:t>Livrables</w:t>
            </w:r>
          </w:p>
        </w:tc>
        <w:tc>
          <w:tcPr>
            <w:tcW w:w="2127" w:type="dxa"/>
          </w:tcPr>
          <w:p w14:paraId="292DD5C5" w14:textId="200C11F5" w:rsidR="00DB700E" w:rsidRPr="00DB700E" w:rsidRDefault="00DB700E" w:rsidP="00DB700E">
            <w:pPr>
              <w:spacing w:line="240" w:lineRule="auto"/>
              <w:jc w:val="both"/>
              <w:rPr>
                <w:rFonts w:ascii="Calibri" w:eastAsia="Arial Unicode MS" w:hAnsi="Calibri" w:cs="Arial Unicode MS"/>
                <w:b/>
                <w:sz w:val="22"/>
                <w:szCs w:val="22"/>
                <w:lang w:eastAsia="en-US"/>
              </w:rPr>
            </w:pPr>
            <w:r w:rsidRPr="00DB700E">
              <w:rPr>
                <w:rFonts w:ascii="Calibri" w:eastAsia="Arial Unicode MS" w:hAnsi="Calibri" w:cs="Arial Unicode MS"/>
                <w:sz w:val="22"/>
                <w:szCs w:val="22"/>
                <w:lang w:eastAsia="en-US"/>
              </w:rPr>
              <w:t xml:space="preserve">Date </w:t>
            </w:r>
            <w:r w:rsidR="00141D15">
              <w:rPr>
                <w:rFonts w:ascii="Calibri" w:eastAsia="Arial Unicode MS" w:hAnsi="Calibri" w:cs="Arial Unicode MS"/>
                <w:sz w:val="22"/>
                <w:szCs w:val="22"/>
                <w:lang w:eastAsia="en-US"/>
              </w:rPr>
              <w:t xml:space="preserve">provisoire </w:t>
            </w:r>
            <w:r w:rsidRPr="00DB700E">
              <w:rPr>
                <w:rFonts w:ascii="Calibri" w:eastAsia="Arial Unicode MS" w:hAnsi="Calibri" w:cs="Arial Unicode MS"/>
                <w:sz w:val="22"/>
                <w:szCs w:val="22"/>
                <w:lang w:eastAsia="en-US"/>
              </w:rPr>
              <w:t>de livraison</w:t>
            </w:r>
          </w:p>
        </w:tc>
      </w:tr>
      <w:tr w:rsidR="00DB700E" w:rsidRPr="00DB700E" w14:paraId="1DF9CCEA" w14:textId="77777777" w:rsidTr="006A10E4">
        <w:tc>
          <w:tcPr>
            <w:tcW w:w="7006" w:type="dxa"/>
          </w:tcPr>
          <w:p w14:paraId="2B8C0359" w14:textId="1900F080" w:rsidR="00DB700E" w:rsidRPr="006A10E4" w:rsidRDefault="00DB700E">
            <w:pPr>
              <w:spacing w:line="240" w:lineRule="auto"/>
              <w:contextualSpacing/>
              <w:jc w:val="both"/>
              <w:rPr>
                <w:rFonts w:ascii="Calibri" w:eastAsia="Arial Unicode MS" w:hAnsi="Calibri" w:cs="Arial Unicode MS"/>
                <w:sz w:val="22"/>
                <w:szCs w:val="22"/>
                <w:lang w:eastAsia="en-US"/>
              </w:rPr>
            </w:pPr>
            <w:r w:rsidRPr="006A10E4">
              <w:rPr>
                <w:rFonts w:ascii="Calibri" w:eastAsia="Arial Unicode MS" w:hAnsi="Calibri" w:cs="Arial Unicode MS"/>
                <w:sz w:val="22"/>
                <w:szCs w:val="22"/>
                <w:lang w:eastAsia="en-US"/>
              </w:rPr>
              <w:t>Un rapport de démarrage</w:t>
            </w:r>
          </w:p>
        </w:tc>
        <w:tc>
          <w:tcPr>
            <w:tcW w:w="2127" w:type="dxa"/>
          </w:tcPr>
          <w:p w14:paraId="35692694" w14:textId="1C080F82" w:rsidR="00DB700E" w:rsidRPr="006A10E4" w:rsidRDefault="00DB700E" w:rsidP="00DB700E">
            <w:pPr>
              <w:spacing w:line="240" w:lineRule="auto"/>
              <w:jc w:val="both"/>
              <w:rPr>
                <w:rFonts w:ascii="Calibri" w:eastAsia="Arial Unicode MS" w:hAnsi="Calibri" w:cs="Arial Unicode MS"/>
                <w:sz w:val="22"/>
                <w:szCs w:val="22"/>
                <w:lang w:eastAsia="en-US"/>
              </w:rPr>
            </w:pPr>
            <w:r w:rsidRPr="006A10E4">
              <w:rPr>
                <w:rFonts w:ascii="Calibri" w:eastAsia="Arial Unicode MS" w:hAnsi="Calibri" w:cs="Arial Unicode MS"/>
                <w:sz w:val="22"/>
                <w:szCs w:val="22"/>
                <w:lang w:eastAsia="en-US"/>
              </w:rPr>
              <w:t>T0 + 2 semaine</w:t>
            </w:r>
          </w:p>
        </w:tc>
      </w:tr>
      <w:tr w:rsidR="00DB700E" w:rsidRPr="00DB700E" w14:paraId="4B83733B" w14:textId="77777777" w:rsidTr="006A10E4">
        <w:tc>
          <w:tcPr>
            <w:tcW w:w="7006" w:type="dxa"/>
          </w:tcPr>
          <w:p w14:paraId="67B5DD3D" w14:textId="0370D8BB" w:rsidR="00DB700E" w:rsidRPr="006A10E4" w:rsidRDefault="00DB700E" w:rsidP="00DB700E">
            <w:pPr>
              <w:spacing w:line="240" w:lineRule="auto"/>
              <w:contextualSpacing/>
              <w:jc w:val="both"/>
              <w:rPr>
                <w:rFonts w:ascii="Calibri" w:eastAsia="Arial Unicode MS" w:hAnsi="Calibri" w:cs="Arial Unicode MS"/>
                <w:sz w:val="22"/>
                <w:szCs w:val="22"/>
                <w:lang w:eastAsia="en-US"/>
              </w:rPr>
            </w:pPr>
            <w:r w:rsidRPr="006A10E4">
              <w:rPr>
                <w:rFonts w:ascii="Calibri" w:eastAsia="Arial Unicode MS" w:hAnsi="Calibri" w:cs="Arial Unicode MS"/>
                <w:sz w:val="22"/>
                <w:szCs w:val="22"/>
                <w:lang w:eastAsia="en-US"/>
              </w:rPr>
              <w:t>Un Rapport final de la mission</w:t>
            </w:r>
          </w:p>
        </w:tc>
        <w:tc>
          <w:tcPr>
            <w:tcW w:w="2127" w:type="dxa"/>
          </w:tcPr>
          <w:p w14:paraId="46F54C78" w14:textId="1182B417" w:rsidR="00DB700E" w:rsidRPr="006A10E4" w:rsidRDefault="00DB700E" w:rsidP="00DB700E">
            <w:pPr>
              <w:spacing w:line="240" w:lineRule="auto"/>
              <w:jc w:val="both"/>
              <w:rPr>
                <w:rFonts w:ascii="Calibri" w:eastAsia="Arial Unicode MS" w:hAnsi="Calibri" w:cs="Arial Unicode MS"/>
                <w:sz w:val="22"/>
                <w:szCs w:val="22"/>
                <w:lang w:eastAsia="en-US"/>
              </w:rPr>
            </w:pPr>
            <w:r w:rsidRPr="006A10E4">
              <w:rPr>
                <w:rFonts w:ascii="Calibri" w:eastAsia="Arial Unicode MS" w:hAnsi="Calibri" w:cs="Arial Unicode MS"/>
                <w:color w:val="000000" w:themeColor="text1"/>
                <w:sz w:val="22"/>
                <w:szCs w:val="22"/>
                <w:lang w:eastAsia="en-US"/>
              </w:rPr>
              <w:t>T0 + 20 semaines</w:t>
            </w:r>
          </w:p>
        </w:tc>
      </w:tr>
      <w:tr w:rsidR="00DB700E" w:rsidRPr="00DB700E" w14:paraId="01076664" w14:textId="77777777" w:rsidTr="006A10E4">
        <w:tc>
          <w:tcPr>
            <w:tcW w:w="7006" w:type="dxa"/>
            <w:shd w:val="clear" w:color="auto" w:fill="D9D9D9" w:themeFill="background1" w:themeFillShade="D9"/>
          </w:tcPr>
          <w:p w14:paraId="5D5B39F4" w14:textId="6B0DC039" w:rsidR="00DB700E" w:rsidRPr="006A10E4" w:rsidRDefault="00DB700E" w:rsidP="00DB700E">
            <w:pPr>
              <w:spacing w:line="240" w:lineRule="auto"/>
              <w:contextualSpacing/>
              <w:jc w:val="both"/>
              <w:rPr>
                <w:rFonts w:ascii="Calibri" w:eastAsia="Arial Unicode MS" w:hAnsi="Calibri" w:cs="Arial Unicode MS"/>
                <w:sz w:val="22"/>
                <w:szCs w:val="22"/>
                <w:lang w:eastAsia="en-US"/>
              </w:rPr>
            </w:pPr>
            <w:r w:rsidRPr="006A10E4">
              <w:rPr>
                <w:rFonts w:ascii="Calibri" w:eastAsia="Arial Unicode MS" w:hAnsi="Calibri" w:cs="Arial Unicode MS"/>
                <w:sz w:val="22"/>
                <w:szCs w:val="22"/>
                <w:lang w:eastAsia="en-US"/>
              </w:rPr>
              <w:t>Direction Générale de l’ICCN</w:t>
            </w:r>
          </w:p>
        </w:tc>
        <w:tc>
          <w:tcPr>
            <w:tcW w:w="2127" w:type="dxa"/>
            <w:shd w:val="clear" w:color="auto" w:fill="D9D9D9" w:themeFill="background1" w:themeFillShade="D9"/>
          </w:tcPr>
          <w:p w14:paraId="0FCB3044" w14:textId="77777777" w:rsidR="00DB700E" w:rsidRPr="006A10E4" w:rsidRDefault="00DB700E" w:rsidP="00DB700E">
            <w:pPr>
              <w:spacing w:line="240" w:lineRule="auto"/>
              <w:jc w:val="both"/>
              <w:rPr>
                <w:rFonts w:ascii="Calibri" w:eastAsia="Arial Unicode MS" w:hAnsi="Calibri" w:cs="Arial Unicode MS"/>
                <w:sz w:val="22"/>
                <w:szCs w:val="22"/>
                <w:lang w:eastAsia="en-US"/>
              </w:rPr>
            </w:pPr>
          </w:p>
        </w:tc>
      </w:tr>
      <w:tr w:rsidR="00DB700E" w:rsidRPr="00DB700E" w14:paraId="0FA4A84F" w14:textId="77777777" w:rsidTr="006A10E4">
        <w:tc>
          <w:tcPr>
            <w:tcW w:w="7006" w:type="dxa"/>
          </w:tcPr>
          <w:p w14:paraId="47E04990" w14:textId="77777777" w:rsidR="00DB700E" w:rsidRPr="00DB700E" w:rsidRDefault="00DB700E" w:rsidP="006A10E4">
            <w:pPr>
              <w:spacing w:line="240" w:lineRule="auto"/>
              <w:contextualSpacing/>
              <w:jc w:val="both"/>
              <w:rPr>
                <w:rFonts w:ascii="Calibri" w:eastAsia="Arial Unicode MS" w:hAnsi="Calibri" w:cs="Arial Unicode MS"/>
                <w:sz w:val="22"/>
                <w:szCs w:val="22"/>
                <w:lang w:eastAsia="en-US"/>
              </w:rPr>
            </w:pPr>
            <w:r w:rsidRPr="006A10E4">
              <w:rPr>
                <w:rFonts w:ascii="Calibri" w:eastAsia="Arial Unicode MS" w:hAnsi="Calibri" w:cs="Arial Unicode MS"/>
                <w:sz w:val="22"/>
                <w:szCs w:val="22"/>
                <w:lang w:eastAsia="en-US"/>
              </w:rPr>
              <w:t>Un rapport d’appui à la réorganisation de la Direction Financière de la DAF incluant :</w:t>
            </w:r>
          </w:p>
        </w:tc>
        <w:tc>
          <w:tcPr>
            <w:tcW w:w="2127" w:type="dxa"/>
          </w:tcPr>
          <w:p w14:paraId="0272F81A" w14:textId="77777777" w:rsidR="00DB700E" w:rsidRPr="006A10E4" w:rsidRDefault="00DB700E" w:rsidP="00DB700E">
            <w:pPr>
              <w:spacing w:line="240" w:lineRule="auto"/>
              <w:jc w:val="both"/>
              <w:rPr>
                <w:rFonts w:ascii="Calibri" w:eastAsia="Arial Unicode MS" w:hAnsi="Calibri" w:cs="Arial Unicode MS"/>
                <w:sz w:val="22"/>
                <w:szCs w:val="22"/>
                <w:lang w:eastAsia="en-US"/>
              </w:rPr>
            </w:pPr>
            <w:r w:rsidRPr="006A10E4">
              <w:rPr>
                <w:rFonts w:ascii="Calibri" w:eastAsia="Arial Unicode MS" w:hAnsi="Calibri" w:cs="Arial Unicode MS"/>
                <w:sz w:val="22"/>
                <w:szCs w:val="22"/>
                <w:lang w:eastAsia="en-US"/>
              </w:rPr>
              <w:t xml:space="preserve">T0 + 6 semaines </w:t>
            </w:r>
          </w:p>
        </w:tc>
      </w:tr>
      <w:tr w:rsidR="00DB700E" w:rsidRPr="00DB700E" w14:paraId="0048C2C6" w14:textId="77777777" w:rsidTr="006A10E4">
        <w:tc>
          <w:tcPr>
            <w:tcW w:w="7006" w:type="dxa"/>
          </w:tcPr>
          <w:p w14:paraId="415E80B5" w14:textId="01174B78" w:rsidR="00DB700E" w:rsidRPr="006A10E4" w:rsidRDefault="00DB700E" w:rsidP="00DB700E">
            <w:pPr>
              <w:spacing w:line="240" w:lineRule="auto"/>
              <w:contextualSpacing/>
              <w:jc w:val="both"/>
              <w:rPr>
                <w:rFonts w:ascii="Calibri" w:eastAsia="Arial Unicode MS" w:hAnsi="Calibri" w:cs="Arial Unicode MS"/>
                <w:sz w:val="22"/>
                <w:szCs w:val="22"/>
                <w:lang w:eastAsia="en-US"/>
              </w:rPr>
            </w:pPr>
            <w:r w:rsidRPr="006A10E4">
              <w:rPr>
                <w:rFonts w:ascii="Calibri" w:eastAsia="Arial Unicode MS" w:hAnsi="Calibri" w:cs="Arial Unicode MS"/>
                <w:sz w:val="22"/>
                <w:szCs w:val="22"/>
                <w:lang w:eastAsia="en-US"/>
              </w:rPr>
              <w:t>Un rapport d’appui au recrutement aux 05 postes à pourvoir (un responsable du budget, un contrôleur de gestion et 3 comptables) incluant :</w:t>
            </w:r>
          </w:p>
        </w:tc>
        <w:tc>
          <w:tcPr>
            <w:tcW w:w="2127" w:type="dxa"/>
          </w:tcPr>
          <w:p w14:paraId="617C8009" w14:textId="12B1A54D" w:rsidR="00DB700E" w:rsidRPr="006A10E4" w:rsidRDefault="00DB700E" w:rsidP="00DB700E">
            <w:pPr>
              <w:spacing w:line="240" w:lineRule="auto"/>
              <w:jc w:val="both"/>
              <w:rPr>
                <w:rFonts w:ascii="Calibri" w:eastAsia="Arial Unicode MS" w:hAnsi="Calibri" w:cs="Arial Unicode MS"/>
                <w:sz w:val="22"/>
                <w:szCs w:val="22"/>
                <w:lang w:eastAsia="en-US"/>
              </w:rPr>
            </w:pPr>
            <w:r w:rsidRPr="006A10E4">
              <w:rPr>
                <w:rFonts w:ascii="Calibri" w:eastAsia="Arial Unicode MS" w:hAnsi="Calibri" w:cs="Arial Unicode MS"/>
                <w:sz w:val="22"/>
                <w:szCs w:val="22"/>
                <w:lang w:eastAsia="en-US"/>
              </w:rPr>
              <w:t>T0 + 15 semaines</w:t>
            </w:r>
          </w:p>
        </w:tc>
      </w:tr>
      <w:tr w:rsidR="00DB700E" w:rsidRPr="00DB700E" w14:paraId="0CA690AC" w14:textId="77777777" w:rsidTr="006A10E4">
        <w:tc>
          <w:tcPr>
            <w:tcW w:w="7006" w:type="dxa"/>
          </w:tcPr>
          <w:p w14:paraId="65A7D9F8" w14:textId="1C73BD20" w:rsidR="00DB700E" w:rsidRPr="006A10E4" w:rsidRDefault="00DB700E" w:rsidP="00DB700E">
            <w:pPr>
              <w:spacing w:line="240" w:lineRule="auto"/>
              <w:contextualSpacing/>
              <w:jc w:val="both"/>
              <w:rPr>
                <w:rFonts w:ascii="Calibri" w:eastAsia="Arial Unicode MS" w:hAnsi="Calibri" w:cs="Arial Unicode MS"/>
                <w:sz w:val="22"/>
                <w:szCs w:val="22"/>
                <w:lang w:eastAsia="en-US"/>
              </w:rPr>
            </w:pPr>
            <w:r w:rsidRPr="006A10E4">
              <w:rPr>
                <w:rFonts w:ascii="Calibri" w:eastAsia="Arial Unicode MS" w:hAnsi="Calibri" w:cs="Arial Unicode MS"/>
                <w:sz w:val="22"/>
                <w:szCs w:val="22"/>
                <w:lang w:eastAsia="en-US"/>
              </w:rPr>
              <w:t>Un rapport d’appui à l’évaluation des compétences de la Direction Financière, y compris</w:t>
            </w:r>
          </w:p>
        </w:tc>
        <w:tc>
          <w:tcPr>
            <w:tcW w:w="2127" w:type="dxa"/>
          </w:tcPr>
          <w:p w14:paraId="7361DEA0" w14:textId="6AD6B192" w:rsidR="00DB700E" w:rsidRPr="006A10E4" w:rsidRDefault="00DB700E" w:rsidP="00DB700E">
            <w:pPr>
              <w:spacing w:line="240" w:lineRule="auto"/>
              <w:jc w:val="both"/>
              <w:rPr>
                <w:rFonts w:ascii="Calibri" w:eastAsia="Arial Unicode MS" w:hAnsi="Calibri" w:cs="Arial Unicode MS"/>
                <w:sz w:val="22"/>
                <w:szCs w:val="22"/>
                <w:lang w:eastAsia="en-US"/>
              </w:rPr>
            </w:pPr>
            <w:r w:rsidRPr="006A10E4">
              <w:rPr>
                <w:rFonts w:ascii="Calibri" w:eastAsia="Arial Unicode MS" w:hAnsi="Calibri" w:cs="Arial Unicode MS"/>
                <w:sz w:val="22"/>
                <w:szCs w:val="22"/>
                <w:lang w:eastAsia="en-US"/>
              </w:rPr>
              <w:t>T0 + 16 semaines</w:t>
            </w:r>
          </w:p>
        </w:tc>
      </w:tr>
      <w:tr w:rsidR="00DB700E" w:rsidRPr="00DB700E" w14:paraId="04C02EA8" w14:textId="77777777" w:rsidTr="006A10E4">
        <w:tc>
          <w:tcPr>
            <w:tcW w:w="7006" w:type="dxa"/>
            <w:shd w:val="clear" w:color="auto" w:fill="D9D9D9" w:themeFill="background1" w:themeFillShade="D9"/>
          </w:tcPr>
          <w:p w14:paraId="4F38C8D7" w14:textId="266F6DD2" w:rsidR="00DB700E" w:rsidRPr="006A10E4" w:rsidRDefault="00DB700E" w:rsidP="006A10E4">
            <w:pPr>
              <w:spacing w:line="240" w:lineRule="auto"/>
              <w:contextualSpacing/>
              <w:jc w:val="both"/>
              <w:rPr>
                <w:rFonts w:ascii="Calibri" w:eastAsia="Arial Unicode MS" w:hAnsi="Calibri" w:cs="Arial Unicode MS"/>
                <w:sz w:val="22"/>
                <w:szCs w:val="22"/>
                <w:lang w:eastAsia="en-US"/>
              </w:rPr>
            </w:pPr>
            <w:r w:rsidRPr="006A10E4">
              <w:rPr>
                <w:rFonts w:ascii="Calibri" w:eastAsia="Arial Unicode MS" w:hAnsi="Calibri" w:cs="Arial Unicode MS"/>
                <w:sz w:val="22"/>
                <w:szCs w:val="22"/>
                <w:lang w:eastAsia="en-US"/>
              </w:rPr>
              <w:t>Direction Générale de l’INERA</w:t>
            </w:r>
          </w:p>
        </w:tc>
        <w:tc>
          <w:tcPr>
            <w:tcW w:w="2127" w:type="dxa"/>
            <w:shd w:val="clear" w:color="auto" w:fill="D9D9D9" w:themeFill="background1" w:themeFillShade="D9"/>
          </w:tcPr>
          <w:p w14:paraId="507DCA21" w14:textId="77777777" w:rsidR="00DB700E" w:rsidRPr="006A10E4" w:rsidRDefault="00DB700E" w:rsidP="006A10E4">
            <w:pPr>
              <w:spacing w:line="240" w:lineRule="auto"/>
              <w:jc w:val="both"/>
              <w:rPr>
                <w:rFonts w:ascii="Calibri" w:eastAsia="Arial Unicode MS" w:hAnsi="Calibri" w:cs="Arial Unicode MS"/>
                <w:sz w:val="22"/>
                <w:szCs w:val="22"/>
                <w:lang w:eastAsia="en-US"/>
              </w:rPr>
            </w:pPr>
          </w:p>
        </w:tc>
      </w:tr>
      <w:tr w:rsidR="00DB700E" w:rsidRPr="00DB700E" w14:paraId="22BC0FED" w14:textId="77777777" w:rsidTr="006A10E4">
        <w:tc>
          <w:tcPr>
            <w:tcW w:w="7006" w:type="dxa"/>
          </w:tcPr>
          <w:p w14:paraId="6D750215" w14:textId="577650E2" w:rsidR="00DB700E" w:rsidRPr="006A10E4" w:rsidRDefault="00DB700E" w:rsidP="00DB700E">
            <w:pPr>
              <w:spacing w:line="240" w:lineRule="auto"/>
              <w:contextualSpacing/>
              <w:jc w:val="both"/>
              <w:rPr>
                <w:rFonts w:ascii="Calibri" w:eastAsia="Arial Unicode MS" w:hAnsi="Calibri" w:cs="Arial Unicode MS"/>
                <w:sz w:val="22"/>
                <w:szCs w:val="22"/>
                <w:lang w:eastAsia="en-US"/>
              </w:rPr>
            </w:pPr>
            <w:r w:rsidRPr="006A10E4">
              <w:rPr>
                <w:rFonts w:ascii="Calibri" w:eastAsia="Arial Unicode MS" w:hAnsi="Calibri" w:cs="Arial Unicode MS"/>
                <w:sz w:val="22"/>
                <w:szCs w:val="22"/>
                <w:lang w:eastAsia="en-US"/>
              </w:rPr>
              <w:t>Un rapport de certification des décomptes</w:t>
            </w:r>
          </w:p>
        </w:tc>
        <w:tc>
          <w:tcPr>
            <w:tcW w:w="2127" w:type="dxa"/>
          </w:tcPr>
          <w:p w14:paraId="3CDDC42F" w14:textId="6166417D" w:rsidR="00DB700E" w:rsidRPr="006A10E4" w:rsidRDefault="00DB700E" w:rsidP="00DB700E">
            <w:pPr>
              <w:spacing w:line="240" w:lineRule="auto"/>
              <w:jc w:val="both"/>
              <w:rPr>
                <w:rFonts w:ascii="Calibri" w:eastAsia="Arial Unicode MS" w:hAnsi="Calibri" w:cs="Arial Unicode MS"/>
                <w:sz w:val="22"/>
                <w:szCs w:val="22"/>
                <w:lang w:eastAsia="en-US"/>
              </w:rPr>
            </w:pPr>
            <w:r w:rsidRPr="006A10E4">
              <w:rPr>
                <w:rFonts w:ascii="Calibri" w:eastAsia="Arial Unicode MS" w:hAnsi="Calibri" w:cs="Arial Unicode MS"/>
                <w:sz w:val="22"/>
                <w:szCs w:val="22"/>
                <w:lang w:eastAsia="en-US"/>
              </w:rPr>
              <w:t>T0 + 6 semaines</w:t>
            </w:r>
          </w:p>
        </w:tc>
      </w:tr>
      <w:tr w:rsidR="00DB700E" w:rsidRPr="00DB700E" w14:paraId="2E65EF11" w14:textId="77777777" w:rsidTr="006A10E4">
        <w:tc>
          <w:tcPr>
            <w:tcW w:w="7006" w:type="dxa"/>
          </w:tcPr>
          <w:p w14:paraId="3AE1CD41" w14:textId="4FA0AA79" w:rsidR="00DB700E" w:rsidRPr="006A10E4" w:rsidRDefault="00DB700E" w:rsidP="00DB700E">
            <w:pPr>
              <w:spacing w:line="240" w:lineRule="auto"/>
              <w:contextualSpacing/>
              <w:jc w:val="both"/>
              <w:rPr>
                <w:rFonts w:ascii="Calibri" w:eastAsia="Arial Unicode MS" w:hAnsi="Calibri" w:cs="Arial Unicode MS"/>
                <w:sz w:val="22"/>
                <w:szCs w:val="22"/>
                <w:lang w:eastAsia="en-US"/>
              </w:rPr>
            </w:pPr>
            <w:r w:rsidRPr="006A10E4">
              <w:rPr>
                <w:rFonts w:ascii="Calibri" w:eastAsia="Arial Unicode MS" w:hAnsi="Calibri" w:cs="Arial Unicode MS"/>
                <w:sz w:val="22"/>
                <w:szCs w:val="22"/>
                <w:lang w:eastAsia="en-US"/>
              </w:rPr>
              <w:lastRenderedPageBreak/>
              <w:t>Un rapport d’audit des coûts de départ</w:t>
            </w:r>
          </w:p>
        </w:tc>
        <w:tc>
          <w:tcPr>
            <w:tcW w:w="2127" w:type="dxa"/>
          </w:tcPr>
          <w:p w14:paraId="038C09F0" w14:textId="28392162" w:rsidR="00DB700E" w:rsidRPr="006A10E4" w:rsidRDefault="00DB700E" w:rsidP="00DB700E">
            <w:pPr>
              <w:spacing w:line="240" w:lineRule="auto"/>
              <w:jc w:val="both"/>
              <w:rPr>
                <w:rFonts w:ascii="Calibri" w:eastAsia="Arial Unicode MS" w:hAnsi="Calibri" w:cs="Arial Unicode MS"/>
                <w:sz w:val="22"/>
                <w:szCs w:val="22"/>
                <w:lang w:eastAsia="en-US"/>
              </w:rPr>
            </w:pPr>
            <w:r w:rsidRPr="006A10E4">
              <w:rPr>
                <w:rFonts w:ascii="Calibri" w:eastAsia="Arial Unicode MS" w:hAnsi="Calibri" w:cs="Arial Unicode MS"/>
                <w:sz w:val="22"/>
                <w:szCs w:val="22"/>
                <w:lang w:eastAsia="en-US"/>
              </w:rPr>
              <w:t>T0 + 10 semaines</w:t>
            </w:r>
          </w:p>
        </w:tc>
      </w:tr>
      <w:tr w:rsidR="00DB700E" w:rsidRPr="00DB700E" w14:paraId="6EAC7E13" w14:textId="77777777" w:rsidTr="006A10E4">
        <w:tc>
          <w:tcPr>
            <w:tcW w:w="7006" w:type="dxa"/>
          </w:tcPr>
          <w:p w14:paraId="6034F86B" w14:textId="669FF739" w:rsidR="00DB700E" w:rsidRPr="006A10E4" w:rsidRDefault="00DB700E" w:rsidP="00DB700E">
            <w:pPr>
              <w:spacing w:line="240" w:lineRule="auto"/>
              <w:contextualSpacing/>
              <w:jc w:val="both"/>
              <w:rPr>
                <w:rFonts w:ascii="Calibri" w:eastAsia="Arial Unicode MS" w:hAnsi="Calibri" w:cs="Arial Unicode MS"/>
                <w:sz w:val="22"/>
                <w:szCs w:val="22"/>
                <w:lang w:eastAsia="en-US"/>
              </w:rPr>
            </w:pPr>
            <w:r w:rsidRPr="006A10E4">
              <w:rPr>
                <w:rFonts w:ascii="Calibri" w:eastAsia="Arial Unicode MS" w:hAnsi="Calibri" w:cs="Arial Unicode MS"/>
                <w:sz w:val="22"/>
                <w:szCs w:val="22"/>
                <w:lang w:eastAsia="en-US"/>
              </w:rPr>
              <w:t>Une proposition de plan de départ volontaire</w:t>
            </w:r>
          </w:p>
        </w:tc>
        <w:tc>
          <w:tcPr>
            <w:tcW w:w="2127" w:type="dxa"/>
          </w:tcPr>
          <w:p w14:paraId="6B2B1409" w14:textId="61632559" w:rsidR="00DB700E" w:rsidRPr="006A10E4" w:rsidRDefault="00DB700E" w:rsidP="00DB700E">
            <w:pPr>
              <w:spacing w:line="240" w:lineRule="auto"/>
              <w:jc w:val="both"/>
              <w:rPr>
                <w:rFonts w:ascii="Calibri" w:eastAsia="Arial Unicode MS" w:hAnsi="Calibri" w:cs="Arial Unicode MS"/>
                <w:sz w:val="22"/>
                <w:szCs w:val="22"/>
                <w:lang w:eastAsia="en-US"/>
              </w:rPr>
            </w:pPr>
            <w:r w:rsidRPr="006A10E4">
              <w:rPr>
                <w:rFonts w:ascii="Calibri" w:eastAsia="Arial Unicode MS" w:hAnsi="Calibri" w:cs="Arial Unicode MS"/>
                <w:sz w:val="22"/>
                <w:szCs w:val="22"/>
                <w:lang w:eastAsia="en-US"/>
              </w:rPr>
              <w:t>T0 + 14 semaines</w:t>
            </w:r>
          </w:p>
        </w:tc>
      </w:tr>
    </w:tbl>
    <w:p w14:paraId="365137FA" w14:textId="77777777" w:rsidR="00DB700E" w:rsidRPr="006A10E4" w:rsidRDefault="00DB700E" w:rsidP="006A10E4"/>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36" w:name="_Toc392669644"/>
      <w:bookmarkStart w:id="37" w:name="_Toc126921993"/>
      <w:bookmarkEnd w:id="35"/>
      <w:r w:rsidRPr="00A86E43">
        <w:rPr>
          <w:rFonts w:asciiTheme="minorHAnsi" w:hAnsiTheme="minorHAnsi" w:cstheme="minorHAnsi"/>
          <w:sz w:val="22"/>
          <w:szCs w:val="22"/>
        </w:rPr>
        <w:t>Lieu d’exécution</w:t>
      </w:r>
      <w:bookmarkEnd w:id="36"/>
      <w:bookmarkEnd w:id="37"/>
    </w:p>
    <w:p w14:paraId="285FB70F" w14:textId="0623D171" w:rsidR="00DB700E" w:rsidRPr="006A10E4" w:rsidRDefault="005563C9"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w:t>
      </w:r>
      <w:r w:rsidR="00E25D2D" w:rsidRPr="00A86E43">
        <w:rPr>
          <w:rFonts w:asciiTheme="minorHAnsi" w:hAnsiTheme="minorHAnsi" w:cstheme="minorHAnsi"/>
          <w:szCs w:val="22"/>
        </w:rPr>
        <w:t xml:space="preserve"> seront </w:t>
      </w:r>
      <w:r w:rsidRPr="0040302B">
        <w:rPr>
          <w:rFonts w:asciiTheme="minorHAnsi" w:hAnsiTheme="minorHAnsi" w:cstheme="minorHAnsi"/>
          <w:szCs w:val="22"/>
        </w:rPr>
        <w:t>exécutées</w:t>
      </w:r>
      <w:r w:rsidR="00E25D2D" w:rsidRPr="0040302B">
        <w:rPr>
          <w:rFonts w:asciiTheme="minorHAnsi" w:hAnsiTheme="minorHAnsi" w:cstheme="minorHAnsi"/>
          <w:szCs w:val="22"/>
        </w:rPr>
        <w:t xml:space="preserve"> en</w:t>
      </w:r>
      <w:r w:rsidR="00143F6C" w:rsidRPr="0040302B">
        <w:rPr>
          <w:rFonts w:asciiTheme="minorHAnsi" w:hAnsiTheme="minorHAnsi" w:cstheme="minorHAnsi"/>
          <w:szCs w:val="22"/>
        </w:rPr>
        <w:t xml:space="preserve"> </w:t>
      </w:r>
      <w:r w:rsidR="00DB700E" w:rsidRPr="0040302B">
        <w:rPr>
          <w:rFonts w:asciiTheme="minorHAnsi" w:hAnsiTheme="minorHAnsi" w:cstheme="minorHAnsi"/>
          <w:szCs w:val="22"/>
        </w:rPr>
        <w:t xml:space="preserve">République Démocratique du Congo, dans a ville de Kinshasa, </w:t>
      </w:r>
      <w:r w:rsidR="00E25860" w:rsidRPr="006A10E4">
        <w:rPr>
          <w:rFonts w:asciiTheme="minorHAnsi" w:hAnsiTheme="minorHAnsi" w:cstheme="minorHAnsi"/>
          <w:szCs w:val="22"/>
        </w:rPr>
        <w:t xml:space="preserve">et déplacement </w:t>
      </w:r>
      <w:r w:rsidR="00143F6C" w:rsidRPr="006A10E4">
        <w:rPr>
          <w:rFonts w:asciiTheme="minorHAnsi" w:hAnsiTheme="minorHAnsi" w:cstheme="minorHAnsi"/>
          <w:szCs w:val="22"/>
        </w:rPr>
        <w:t>éventuels</w:t>
      </w:r>
      <w:r w:rsidR="00E25860" w:rsidRPr="006A10E4">
        <w:rPr>
          <w:rFonts w:asciiTheme="minorHAnsi" w:hAnsiTheme="minorHAnsi" w:cstheme="minorHAnsi"/>
          <w:szCs w:val="22"/>
        </w:rPr>
        <w:t xml:space="preserve"> </w:t>
      </w:r>
      <w:r w:rsidR="00DB700E" w:rsidRPr="006A10E4">
        <w:rPr>
          <w:rFonts w:asciiTheme="minorHAnsi" w:hAnsiTheme="minorHAnsi" w:cstheme="minorHAnsi"/>
          <w:szCs w:val="22"/>
        </w:rPr>
        <w:t>au centre de recherche de l’INERA situé à Yangambi.</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38" w:name="_Toc126921996"/>
      <w:bookmarkStart w:id="39" w:name="_Toc392669645"/>
      <w:r w:rsidRPr="0040302B">
        <w:rPr>
          <w:rFonts w:asciiTheme="minorHAnsi" w:hAnsiTheme="minorHAnsi" w:cstheme="minorHAnsi"/>
          <w:sz w:val="22"/>
          <w:szCs w:val="22"/>
        </w:rPr>
        <w:t>Langue du contrat</w:t>
      </w:r>
      <w:bookmarkEnd w:id="38"/>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0" w:name="_Toc126921997"/>
      <w:r w:rsidRPr="00A86E43">
        <w:rPr>
          <w:rFonts w:asciiTheme="minorHAnsi" w:hAnsiTheme="minorHAnsi" w:cstheme="minorHAnsi"/>
          <w:sz w:val="22"/>
          <w:szCs w:val="22"/>
        </w:rPr>
        <w:t xml:space="preserve">Engagement du </w:t>
      </w:r>
      <w:bookmarkEnd w:id="39"/>
      <w:r w:rsidR="00825236" w:rsidRPr="003A0706">
        <w:rPr>
          <w:rFonts w:asciiTheme="minorHAnsi" w:hAnsiTheme="minorHAnsi" w:cstheme="minorHAnsi"/>
          <w:smallCaps/>
          <w:sz w:val="22"/>
          <w:szCs w:val="22"/>
        </w:rPr>
        <w:t>Contractant</w:t>
      </w:r>
      <w:bookmarkEnd w:id="40"/>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2DC680D0" w:rsidR="00456853" w:rsidRPr="00A86E43" w:rsidRDefault="00E36056"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w:t>
      </w:r>
      <w:r w:rsidR="00456853" w:rsidRPr="00A86E43">
        <w:rPr>
          <w:rFonts w:asciiTheme="minorHAnsi" w:hAnsiTheme="minorHAnsi" w:cstheme="minorHAnsi"/>
          <w:szCs w:val="22"/>
        </w:rPr>
        <w:t xml:space="preserve"> conformer au cahier des charges </w:t>
      </w:r>
      <w:r w:rsidR="00456853" w:rsidRPr="00A86E43">
        <w:rPr>
          <w:rFonts w:asciiTheme="minorHAnsi" w:hAnsiTheme="minorHAnsi" w:cstheme="minorHAnsi"/>
          <w:smallCaps/>
          <w:szCs w:val="22"/>
        </w:rPr>
        <w:t>;</w:t>
      </w:r>
    </w:p>
    <w:p w14:paraId="6C182559" w14:textId="33488301" w:rsidR="00456853" w:rsidRPr="00A86E43" w:rsidRDefault="00E36056"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Signaler</w:t>
      </w:r>
      <w:r w:rsidR="00456853" w:rsidRPr="00A86E43">
        <w:rPr>
          <w:rFonts w:asciiTheme="minorHAnsi" w:hAnsiTheme="minorHAnsi" w:cstheme="minorHAnsi"/>
          <w:szCs w:val="22"/>
        </w:rPr>
        <w:t xml:space="preserve">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00456853" w:rsidRPr="00A86E43">
        <w:rPr>
          <w:rFonts w:asciiTheme="minorHAnsi" w:hAnsiTheme="minorHAnsi" w:cstheme="minorHAnsi"/>
          <w:szCs w:val="22"/>
        </w:rPr>
        <w:t xml:space="preserve">par écrit toute communication ou instruction relative aux prestations qui lui parviendrait du </w:t>
      </w:r>
      <w:r w:rsidR="00456853" w:rsidRPr="00A86E43">
        <w:rPr>
          <w:rFonts w:asciiTheme="minorHAnsi" w:hAnsiTheme="minorHAnsi" w:cstheme="minorHAnsi"/>
          <w:smallCaps/>
          <w:szCs w:val="22"/>
        </w:rPr>
        <w:t>Client</w:t>
      </w:r>
      <w:r w:rsidR="00456853"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00456853"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00456853"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00456853" w:rsidRPr="00A86E43">
        <w:rPr>
          <w:rFonts w:asciiTheme="minorHAnsi" w:hAnsiTheme="minorHAnsi" w:cstheme="minorHAnsi"/>
          <w:szCs w:val="22"/>
        </w:rPr>
        <w:t>;</w:t>
      </w:r>
    </w:p>
    <w:p w14:paraId="755DB327" w14:textId="7FD6963A" w:rsidR="00456853" w:rsidRPr="00A86E43" w:rsidRDefault="00E36056"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Signaler</w:t>
      </w:r>
      <w:r w:rsidR="00456853" w:rsidRPr="00A86E43">
        <w:rPr>
          <w:rFonts w:asciiTheme="minorHAnsi" w:hAnsiTheme="minorHAnsi" w:cstheme="minorHAnsi"/>
          <w:szCs w:val="22"/>
        </w:rPr>
        <w:t xml:space="preserve"> toute difficulté, de quelque nature que ce soit, qu’il serait susceptible de rencontrer dans l’exécution des obligations qui lui incombent au titre du </w:t>
      </w:r>
      <w:r w:rsidR="00456853" w:rsidRPr="00A86E43">
        <w:rPr>
          <w:rFonts w:asciiTheme="minorHAnsi" w:hAnsiTheme="minorHAnsi" w:cstheme="minorHAnsi"/>
          <w:smallCaps/>
          <w:szCs w:val="22"/>
        </w:rPr>
        <w:t>Contrat</w:t>
      </w:r>
      <w:r w:rsidR="00456853" w:rsidRPr="00A86E43">
        <w:rPr>
          <w:rFonts w:asciiTheme="minorHAnsi" w:hAnsiTheme="minorHAnsi" w:cstheme="minorHAnsi"/>
          <w:szCs w:val="22"/>
        </w:rPr>
        <w:t> ;</w:t>
      </w:r>
    </w:p>
    <w:p w14:paraId="26AEC7B2" w14:textId="664E193E" w:rsidR="00456853" w:rsidRPr="00A86E43" w:rsidRDefault="00E36056"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Respecter</w:t>
      </w:r>
      <w:r w:rsidR="00456853" w:rsidRPr="00A86E43">
        <w:rPr>
          <w:rFonts w:asciiTheme="minorHAnsi" w:hAnsiTheme="minorHAnsi" w:cstheme="minorHAnsi"/>
          <w:szCs w:val="22"/>
        </w:rPr>
        <w:t xml:space="preserve">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00456853"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00456853" w:rsidRPr="00A86E43">
        <w:rPr>
          <w:rFonts w:asciiTheme="minorHAnsi" w:hAnsiTheme="minorHAnsi" w:cstheme="minorHAnsi"/>
          <w:szCs w:val="22"/>
        </w:rPr>
        <w:t xml:space="preserve">ne soit pas mise en cause à cet égard ni par le </w:t>
      </w:r>
      <w:r w:rsidR="00456853" w:rsidRPr="00A86E43">
        <w:rPr>
          <w:rFonts w:asciiTheme="minorHAnsi" w:hAnsiTheme="minorHAnsi" w:cstheme="minorHAnsi"/>
          <w:smallCaps/>
          <w:szCs w:val="22"/>
        </w:rPr>
        <w:t>Client</w:t>
      </w:r>
      <w:r w:rsidR="00456853" w:rsidRPr="00A86E43">
        <w:rPr>
          <w:rFonts w:asciiTheme="minorHAnsi" w:hAnsiTheme="minorHAnsi" w:cstheme="minorHAnsi"/>
          <w:szCs w:val="22"/>
        </w:rPr>
        <w:t>, ni par tout autre interlocuteur désigné par ce dernier ;</w:t>
      </w:r>
    </w:p>
    <w:p w14:paraId="1A2FBA21" w14:textId="5D2B4832" w:rsidR="00456853" w:rsidRPr="00A86E43" w:rsidRDefault="00E36056"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w:t>
      </w:r>
      <w:r w:rsidR="00456853" w:rsidRPr="00A86E43">
        <w:rPr>
          <w:rFonts w:asciiTheme="minorHAnsi" w:hAnsiTheme="minorHAnsi" w:cstheme="minorHAnsi"/>
          <w:szCs w:val="22"/>
        </w:rPr>
        <w:t xml:space="preserve"> au mieux les intérêts d’</w:t>
      </w:r>
      <w:r w:rsidR="00100109" w:rsidRPr="00CE73DB">
        <w:rPr>
          <w:rFonts w:asciiTheme="minorHAnsi" w:hAnsiTheme="minorHAnsi" w:cstheme="minorHAnsi"/>
          <w:smallCaps/>
          <w:szCs w:val="22"/>
        </w:rPr>
        <w:t>expertise France</w:t>
      </w:r>
      <w:r w:rsidR="00456853" w:rsidRPr="00A86E43">
        <w:rPr>
          <w:rFonts w:asciiTheme="minorHAnsi" w:hAnsiTheme="minorHAnsi" w:cstheme="minorHAnsi"/>
          <w:szCs w:val="22"/>
        </w:rPr>
        <w:t xml:space="preserve"> vis-à-vis du </w:t>
      </w:r>
      <w:r w:rsidR="00456853" w:rsidRPr="00A86E43">
        <w:rPr>
          <w:rFonts w:asciiTheme="minorHAnsi" w:hAnsiTheme="minorHAnsi" w:cstheme="minorHAnsi"/>
          <w:smallCaps/>
          <w:szCs w:val="22"/>
        </w:rPr>
        <w:t>Client</w:t>
      </w:r>
      <w:r w:rsidR="00456853" w:rsidRPr="00A86E43">
        <w:rPr>
          <w:rFonts w:asciiTheme="minorHAnsi" w:hAnsiTheme="minorHAnsi" w:cstheme="minorHAnsi"/>
          <w:szCs w:val="22"/>
        </w:rPr>
        <w:t> ;</w:t>
      </w:r>
    </w:p>
    <w:p w14:paraId="34043BE3" w14:textId="607D9CD9" w:rsidR="00456853" w:rsidRPr="00A86E43" w:rsidRDefault="00E36056"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w:t>
      </w:r>
      <w:r w:rsidR="00456853" w:rsidRPr="00A86E43">
        <w:rPr>
          <w:rFonts w:asciiTheme="minorHAnsi" w:hAnsiTheme="minorHAnsi" w:cstheme="minorHAnsi"/>
          <w:szCs w:val="22"/>
        </w:rPr>
        <w:t xml:space="preserv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00456853" w:rsidRPr="00A86E43">
        <w:rPr>
          <w:rFonts w:asciiTheme="minorHAnsi" w:hAnsiTheme="minorHAnsi" w:cstheme="minorHAnsi"/>
          <w:szCs w:val="22"/>
        </w:rPr>
        <w:t>;</w:t>
      </w:r>
    </w:p>
    <w:p w14:paraId="217A3A46" w14:textId="4DF7263E" w:rsidR="00456853" w:rsidRPr="00A86E43" w:rsidRDefault="00E36056"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w:t>
      </w:r>
      <w:r w:rsidR="00456853" w:rsidRPr="00A86E43">
        <w:rPr>
          <w:rFonts w:asciiTheme="minorHAnsi" w:hAnsiTheme="minorHAnsi" w:cstheme="minorHAnsi"/>
          <w:szCs w:val="22"/>
        </w:rPr>
        <w:t xml:space="preserve"> présenter vis-à-vis du </w:t>
      </w:r>
      <w:r w:rsidR="00456853" w:rsidRPr="00A86E43">
        <w:rPr>
          <w:rFonts w:asciiTheme="minorHAnsi" w:hAnsiTheme="minorHAnsi" w:cstheme="minorHAnsi"/>
          <w:smallCaps/>
          <w:szCs w:val="22"/>
        </w:rPr>
        <w:t>Client</w:t>
      </w:r>
      <w:r w:rsidR="00456853"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00456853"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00456853" w:rsidRPr="00A86E43">
        <w:rPr>
          <w:rFonts w:asciiTheme="minorHAnsi" w:hAnsiTheme="minorHAnsi" w:cstheme="minorHAnsi"/>
          <w:szCs w:val="22"/>
        </w:rPr>
        <w:t>.</w:t>
      </w:r>
    </w:p>
    <w:p w14:paraId="691A5BDB" w14:textId="1D830A91" w:rsidR="00F97562" w:rsidRPr="00A86E43" w:rsidRDefault="00E36056"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Appliquer</w:t>
      </w:r>
      <w:r w:rsidR="00F97562" w:rsidRPr="00A86E43">
        <w:rPr>
          <w:rFonts w:asciiTheme="minorHAnsi" w:hAnsiTheme="minorHAnsi" w:cstheme="minorHAnsi"/>
          <w:szCs w:val="22"/>
        </w:rPr>
        <w:t xml:space="preserve">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F97562" w:rsidRPr="00A86E43">
        <w:rPr>
          <w:rFonts w:asciiTheme="minorHAnsi" w:hAnsiTheme="minorHAnsi" w:cstheme="minorHAnsi"/>
          <w:smallCaps/>
          <w:szCs w:val="22"/>
        </w:rPr>
        <w:t xml:space="preserve"> </w:t>
      </w:r>
      <w:r w:rsidR="00F97562"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00F97562"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5CE1B93" w:rsidR="003A4792" w:rsidRPr="00A86E43" w:rsidRDefault="00E36056"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t>Réaliser</w:t>
      </w:r>
      <w:r w:rsidR="003A4792"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003A4792"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6CF53E2" w:rsidR="003A4792" w:rsidRPr="00A86E43" w:rsidRDefault="00E36056"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Utiliser</w:t>
      </w:r>
      <w:r w:rsidR="003A4792"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1" w:name="_Toc392669646"/>
      <w:bookmarkStart w:id="42" w:name="_Toc126921998"/>
      <w:r w:rsidRPr="00A86E43">
        <w:rPr>
          <w:rFonts w:asciiTheme="minorHAnsi" w:hAnsiTheme="minorHAnsi" w:cstheme="minorHAnsi"/>
          <w:sz w:val="22"/>
          <w:szCs w:val="22"/>
        </w:rPr>
        <w:t>Confidentialité</w:t>
      </w:r>
      <w:bookmarkEnd w:id="41"/>
      <w:bookmarkEnd w:id="42"/>
    </w:p>
    <w:p w14:paraId="02834DA2" w14:textId="0A3EBC12"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 </w:t>
      </w:r>
      <w:r w:rsidRPr="00A86E43">
        <w:rPr>
          <w:rFonts w:asciiTheme="minorHAnsi" w:hAnsiTheme="minorHAnsi" w:cstheme="minorHAnsi"/>
          <w:szCs w:val="22"/>
        </w:rPr>
        <w:t xml:space="preserve"> </w:t>
      </w:r>
      <w:r w:rsidR="00DB700E">
        <w:rPr>
          <w:rFonts w:asciiTheme="minorHAnsi" w:hAnsiTheme="minorHAnsi" w:cstheme="minorHAnsi"/>
          <w:szCs w:val="22"/>
        </w:rPr>
        <w:t xml:space="preserve">et </w:t>
      </w:r>
      <w:r w:rsidRPr="00A86E43">
        <w:rPr>
          <w:rFonts w:asciiTheme="minorHAnsi" w:hAnsiTheme="minorHAnsi" w:cstheme="minorHAnsi"/>
          <w:szCs w:val="22"/>
        </w:rPr>
        <w:t>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 xml:space="preserve">nformations considérées ou présentées comme </w:t>
      </w:r>
      <w:r w:rsidRPr="00A86E43">
        <w:rPr>
          <w:rFonts w:asciiTheme="minorHAnsi" w:hAnsiTheme="minorHAnsi" w:cstheme="minorHAnsi"/>
          <w:szCs w:val="22"/>
        </w:rPr>
        <w:lastRenderedPageBreak/>
        <w:t>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0AD1EBD5" w:rsidR="00B55D7E" w:rsidRPr="00A86E43" w:rsidRDefault="00E36056"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Ne</w:t>
      </w:r>
      <w:r w:rsidR="0091111F" w:rsidRPr="00A86E43">
        <w:rPr>
          <w:rFonts w:asciiTheme="minorHAnsi" w:hAnsiTheme="minorHAnsi" w:cstheme="minorHAnsi"/>
          <w:szCs w:val="22"/>
        </w:rPr>
        <w:t xml:space="preserv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3250FF0E" w:rsidR="00B55D7E" w:rsidRPr="00A86E43" w:rsidRDefault="00E36056"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Prendre</w:t>
      </w:r>
      <w:r w:rsidR="00B55D7E" w:rsidRPr="00A86E43">
        <w:rPr>
          <w:rFonts w:asciiTheme="minorHAnsi" w:hAnsiTheme="minorHAnsi" w:cstheme="minorHAnsi"/>
          <w:szCs w:val="22"/>
        </w:rPr>
        <w:t xml:space="preserve"> toutes les dispositions nécessaires pour que </w:t>
      </w:r>
      <w:r w:rsidR="0091111F" w:rsidRPr="00A86E43">
        <w:rPr>
          <w:rFonts w:asciiTheme="minorHAnsi" w:hAnsiTheme="minorHAnsi" w:cstheme="minorHAnsi"/>
          <w:szCs w:val="22"/>
        </w:rPr>
        <w:t>son personnel et</w:t>
      </w:r>
      <w:r w:rsidR="00B55D7E"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00B55D7E"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00B55D7E"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00B55D7E"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68558A29" w:rsidR="00B55D7E" w:rsidRPr="00A86E43" w:rsidRDefault="00E36056"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w:t>
      </w:r>
      <w:r w:rsidR="005851B5" w:rsidRPr="00A86E43">
        <w:rPr>
          <w:rFonts w:asciiTheme="minorHAnsi" w:hAnsiTheme="minorHAnsi" w:cstheme="minorHAnsi"/>
          <w:szCs w:val="22"/>
        </w:rPr>
        <w:t xml:space="preserve"> le caractère confidentiel des i</w:t>
      </w:r>
      <w:r w:rsidR="00B55D7E"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00B55D7E"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3" w:name="_Toc392669649"/>
      <w:bookmarkStart w:id="44" w:name="_Toc126922000"/>
      <w:r w:rsidRPr="00A86E43">
        <w:rPr>
          <w:rFonts w:asciiTheme="minorHAnsi" w:hAnsiTheme="minorHAnsi" w:cstheme="minorHAnsi"/>
          <w:sz w:val="22"/>
          <w:szCs w:val="22"/>
        </w:rPr>
        <w:t>Assurance</w:t>
      </w:r>
      <w:bookmarkEnd w:id="43"/>
      <w:bookmarkEnd w:id="44"/>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45" w:name="_Ref464060009"/>
      <w:bookmarkStart w:id="46" w:name="_Toc525912441"/>
      <w:bookmarkStart w:id="47" w:name="_Toc126922001"/>
      <w:r w:rsidRPr="00A86E43">
        <w:rPr>
          <w:rFonts w:asciiTheme="minorHAnsi" w:hAnsiTheme="minorHAnsi" w:cstheme="minorHAnsi"/>
          <w:sz w:val="22"/>
          <w:szCs w:val="22"/>
        </w:rPr>
        <w:t>Point de contact et communication</w:t>
      </w:r>
      <w:bookmarkEnd w:id="45"/>
      <w:bookmarkEnd w:id="46"/>
      <w:bookmarkEnd w:id="47"/>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5BE70BEB" w14:textId="77777777" w:rsidR="0089576F" w:rsidRDefault="0089576F"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F4135"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AF4135">
              <w:rPr>
                <w:rFonts w:asciiTheme="minorHAnsi" w:hAnsiTheme="minorHAnsi" w:cstheme="minorHAnsi"/>
                <w:smallCaps/>
                <w:sz w:val="22"/>
                <w:szCs w:val="22"/>
              </w:rPr>
              <w:t>Expertise France</w:t>
            </w:r>
            <w:r w:rsidR="00D07897" w:rsidRPr="00AF4135">
              <w:rPr>
                <w:rFonts w:asciiTheme="minorHAnsi" w:hAnsiTheme="minorHAnsi" w:cstheme="minorHAnsi"/>
                <w:smallCaps/>
                <w:sz w:val="22"/>
                <w:szCs w:val="22"/>
              </w:rPr>
              <w:t xml:space="preserve"> </w:t>
            </w:r>
          </w:p>
          <w:p w14:paraId="7BDBC337" w14:textId="01EAB8B3" w:rsidR="00D07897" w:rsidRPr="006A10E4" w:rsidRDefault="00DB700E" w:rsidP="00B2733D">
            <w:pPr>
              <w:widowControl w:val="0"/>
              <w:numPr>
                <w:ilvl w:val="12"/>
                <w:numId w:val="0"/>
              </w:numPr>
              <w:spacing w:line="240" w:lineRule="auto"/>
              <w:jc w:val="both"/>
              <w:rPr>
                <w:rFonts w:asciiTheme="minorHAnsi" w:hAnsiTheme="minorHAnsi" w:cstheme="minorHAnsi"/>
                <w:sz w:val="22"/>
                <w:szCs w:val="22"/>
              </w:rPr>
            </w:pPr>
            <w:r w:rsidRPr="006A10E4">
              <w:rPr>
                <w:rFonts w:asciiTheme="minorHAnsi" w:hAnsiTheme="minorHAnsi" w:cstheme="minorHAnsi"/>
                <w:sz w:val="22"/>
                <w:szCs w:val="22"/>
              </w:rPr>
              <w:t>Nicolas Thomas</w:t>
            </w:r>
          </w:p>
          <w:p w14:paraId="5633D651" w14:textId="0A904F9F" w:rsidR="00DB700E" w:rsidRPr="006A10E4" w:rsidRDefault="00DB700E" w:rsidP="00B2733D">
            <w:pPr>
              <w:widowControl w:val="0"/>
              <w:numPr>
                <w:ilvl w:val="12"/>
                <w:numId w:val="0"/>
              </w:numPr>
              <w:spacing w:line="240" w:lineRule="auto"/>
              <w:jc w:val="both"/>
              <w:rPr>
                <w:rFonts w:asciiTheme="minorHAnsi" w:hAnsiTheme="minorHAnsi" w:cstheme="minorHAnsi"/>
                <w:sz w:val="22"/>
                <w:szCs w:val="22"/>
              </w:rPr>
            </w:pPr>
            <w:r w:rsidRPr="006A10E4">
              <w:rPr>
                <w:rFonts w:asciiTheme="minorHAnsi" w:hAnsiTheme="minorHAnsi" w:cstheme="minorHAnsi"/>
                <w:sz w:val="22"/>
                <w:szCs w:val="22"/>
              </w:rPr>
              <w:t>Chef de Projet</w:t>
            </w:r>
          </w:p>
          <w:p w14:paraId="38DD0932" w14:textId="24BC6A58" w:rsidR="00D07897" w:rsidRPr="006A10E4" w:rsidRDefault="00D07897" w:rsidP="00B2733D">
            <w:pPr>
              <w:widowControl w:val="0"/>
              <w:numPr>
                <w:ilvl w:val="12"/>
                <w:numId w:val="0"/>
              </w:numPr>
              <w:spacing w:line="240" w:lineRule="auto"/>
              <w:jc w:val="both"/>
              <w:rPr>
                <w:rFonts w:asciiTheme="minorHAnsi" w:hAnsiTheme="minorHAnsi" w:cstheme="minorHAnsi"/>
                <w:sz w:val="22"/>
                <w:szCs w:val="22"/>
              </w:rPr>
            </w:pPr>
            <w:r w:rsidRPr="006A10E4">
              <w:rPr>
                <w:rFonts w:asciiTheme="minorHAnsi" w:hAnsiTheme="minorHAnsi" w:cstheme="minorHAnsi"/>
                <w:sz w:val="22"/>
                <w:szCs w:val="22"/>
              </w:rPr>
              <w:t xml:space="preserve">Département </w:t>
            </w:r>
            <w:r w:rsidR="00DB700E" w:rsidRPr="006A10E4">
              <w:rPr>
                <w:rFonts w:asciiTheme="minorHAnsi" w:hAnsiTheme="minorHAnsi" w:cstheme="minorHAnsi"/>
                <w:sz w:val="22"/>
                <w:szCs w:val="22"/>
              </w:rPr>
              <w:t>Géographique</w:t>
            </w:r>
          </w:p>
          <w:p w14:paraId="12B69284"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rPr>
            </w:pPr>
            <w:r w:rsidRPr="00A86E43">
              <w:rPr>
                <w:rFonts w:asciiTheme="minorHAnsi" w:hAnsiTheme="minorHAnsi" w:cstheme="minorHAnsi"/>
                <w:sz w:val="22"/>
                <w:szCs w:val="22"/>
              </w:rPr>
              <w:t>40, boulevard de Port Royal</w:t>
            </w:r>
          </w:p>
          <w:p w14:paraId="011F9325"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highlight w:val="yellow"/>
              </w:rPr>
            </w:pPr>
            <w:r w:rsidRPr="00A86E43">
              <w:rPr>
                <w:rFonts w:asciiTheme="minorHAnsi" w:hAnsiTheme="minorHAnsi" w:cstheme="minorHAnsi"/>
                <w:sz w:val="22"/>
                <w:szCs w:val="22"/>
              </w:rPr>
              <w:lastRenderedPageBreak/>
              <w:t>F-75005</w:t>
            </w:r>
            <w:r w:rsidR="00D07897" w:rsidRPr="00A86E43">
              <w:rPr>
                <w:rFonts w:asciiTheme="minorHAnsi" w:hAnsiTheme="minorHAnsi" w:cstheme="minorHAnsi"/>
                <w:sz w:val="22"/>
                <w:szCs w:val="22"/>
              </w:rPr>
              <w:t xml:space="preserve"> PARIS</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lastRenderedPageBreak/>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eastAsia="Calibri" w:hAnsiTheme="minorHAnsi" w:cstheme="minorHAnsi"/>
                <w:szCs w:val="22"/>
                <w:highlight w:val="lightGray"/>
              </w:rPr>
              <w:t xml:space="preserve">A renseigner par le </w:t>
            </w:r>
            <w:r w:rsidR="00100109" w:rsidRPr="003A0706">
              <w:rPr>
                <w:rFonts w:asciiTheme="minorHAnsi" w:eastAsia="Calibri" w:hAnsiTheme="minorHAnsi" w:cstheme="minorHAnsi"/>
                <w:smallCaps/>
                <w:szCs w:val="22"/>
                <w:highlight w:val="lightGray"/>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48" w:name="_Toc126922003"/>
      <w:r w:rsidRPr="00A86E43">
        <w:rPr>
          <w:rFonts w:asciiTheme="minorHAnsi" w:hAnsiTheme="minorHAnsi"/>
          <w:b/>
          <w:caps/>
          <w:sz w:val="24"/>
          <w:u w:val="single"/>
        </w:rPr>
        <w:t>Clause de réexamen</w:t>
      </w:r>
      <w:bookmarkEnd w:id="48"/>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C196334" w14:textId="30D6C869" w:rsidR="009766DB" w:rsidRPr="006A10E4" w:rsidRDefault="009766DB" w:rsidP="00345AEE">
      <w:pPr>
        <w:pStyle w:val="u"/>
        <w:widowControl w:val="0"/>
        <w:numPr>
          <w:ilvl w:val="0"/>
          <w:numId w:val="51"/>
        </w:numPr>
        <w:spacing w:before="120"/>
        <w:rPr>
          <w:rFonts w:asciiTheme="minorHAnsi" w:hAnsiTheme="minorHAnsi" w:cs="Arial"/>
          <w:szCs w:val="22"/>
        </w:rPr>
      </w:pPr>
      <w:r w:rsidRPr="006A10E4">
        <w:rPr>
          <w:rFonts w:asciiTheme="minorHAnsi" w:hAnsiTheme="minorHAnsi" w:cs="Arial"/>
          <w:szCs w:val="22"/>
        </w:rPr>
        <w:t xml:space="preserve">La substitution d’un nouveau </w:t>
      </w:r>
      <w:r w:rsidR="00DB700E" w:rsidRPr="006A10E4">
        <w:rPr>
          <w:rFonts w:asciiTheme="minorHAnsi" w:hAnsiTheme="minorHAnsi" w:cs="Arial"/>
          <w:szCs w:val="22"/>
        </w:rPr>
        <w:t xml:space="preserve">cadre de décomposition de prix global et forfaitaire </w:t>
      </w:r>
      <w:r w:rsidRPr="006A10E4">
        <w:rPr>
          <w:rFonts w:asciiTheme="minorHAnsi" w:hAnsiTheme="minorHAnsi" w:cs="Arial"/>
          <w:szCs w:val="22"/>
        </w:rPr>
        <w:t xml:space="preserve">en cas de suppression, de modifications ou d’ajouts de références </w:t>
      </w:r>
      <w:r w:rsidR="00DB700E" w:rsidRPr="006A10E4">
        <w:rPr>
          <w:rFonts w:asciiTheme="minorHAnsi" w:hAnsiTheme="minorHAnsi" w:cs="Arial"/>
          <w:szCs w:val="22"/>
        </w:rPr>
        <w:t xml:space="preserve">au cadre de décomposition initial </w:t>
      </w:r>
      <w:r w:rsidRPr="006A10E4">
        <w:rPr>
          <w:rFonts w:asciiTheme="minorHAnsi" w:hAnsiTheme="minorHAnsi" w:cs="Arial"/>
          <w:szCs w:val="22"/>
        </w:rPr>
        <w:t xml:space="preserve">sous réserve de l’acceptation par </w:t>
      </w:r>
      <w:r w:rsidR="000F3797" w:rsidRPr="00DB700E">
        <w:rPr>
          <w:rFonts w:asciiTheme="minorHAnsi" w:hAnsiTheme="minorHAnsi" w:cs="Arial"/>
          <w:smallCaps/>
          <w:szCs w:val="22"/>
        </w:rPr>
        <w:t>Expertise France</w:t>
      </w:r>
      <w:r w:rsidRPr="006A10E4">
        <w:rPr>
          <w:rFonts w:asciiTheme="minorHAnsi" w:hAnsiTheme="minorHAnsi" w:cs="Arial"/>
          <w:szCs w:val="22"/>
        </w:rPr>
        <w:t>;</w:t>
      </w:r>
    </w:p>
    <w:p w14:paraId="14FF8CBF" w14:textId="4986017C" w:rsidR="009766DB" w:rsidRPr="00DB700E" w:rsidRDefault="009766DB" w:rsidP="0089576F">
      <w:pPr>
        <w:pStyle w:val="u"/>
        <w:widowControl w:val="0"/>
        <w:numPr>
          <w:ilvl w:val="0"/>
          <w:numId w:val="51"/>
        </w:numPr>
        <w:spacing w:before="120"/>
        <w:rPr>
          <w:rFonts w:asciiTheme="minorHAnsi" w:hAnsiTheme="minorHAnsi" w:cs="Arial"/>
          <w:szCs w:val="22"/>
        </w:rPr>
      </w:pPr>
      <w:r w:rsidRPr="006A10E4">
        <w:rPr>
          <w:rFonts w:asciiTheme="minorHAnsi" w:hAnsiTheme="minorHAnsi" w:cs="Arial"/>
          <w:szCs w:val="22"/>
        </w:rPr>
        <w:t>La mise à jour d’éléments techniques (précisions sur les livrables, …).</w:t>
      </w:r>
    </w:p>
    <w:p w14:paraId="2AC74079" w14:textId="77777777" w:rsidR="006E576B" w:rsidRDefault="009766DB" w:rsidP="00C64382">
      <w:pPr>
        <w:pStyle w:val="u"/>
        <w:widowControl w:val="0"/>
        <w:numPr>
          <w:ilvl w:val="12"/>
          <w:numId w:val="0"/>
        </w:numPr>
        <w:spacing w:before="120"/>
        <w:ind w:left="561"/>
        <w:rPr>
          <w:rFonts w:asciiTheme="minorHAnsi" w:hAnsiTheme="minorHAnsi" w:cs="Arial"/>
          <w:szCs w:val="22"/>
        </w:rPr>
      </w:pPr>
      <w:r w:rsidRPr="00DB700E">
        <w:rPr>
          <w:rFonts w:asciiTheme="minorHAnsi" w:hAnsiTheme="minorHAnsi" w:cs="Arial"/>
          <w:szCs w:val="22"/>
        </w:rPr>
        <w:t xml:space="preserve">Ces modifications sont notifiées au </w:t>
      </w:r>
      <w:r w:rsidR="00100109" w:rsidRPr="00DB700E">
        <w:rPr>
          <w:rFonts w:asciiTheme="minorHAnsi" w:hAnsiTheme="minorHAnsi" w:cs="Arial"/>
          <w:smallCaps/>
          <w:szCs w:val="22"/>
        </w:rPr>
        <w:t>Contractant</w:t>
      </w:r>
      <w:r w:rsidRPr="00DB700E">
        <w:rPr>
          <w:rFonts w:asciiTheme="minorHAnsi" w:hAnsiTheme="minorHAnsi" w:cs="Arial"/>
          <w:szCs w:val="22"/>
        </w:rPr>
        <w:t xml:space="preserve"> : [par simple échange de courrier </w:t>
      </w:r>
      <w:r w:rsidRPr="00DB700E">
        <w:rPr>
          <w:rFonts w:asciiTheme="minorHAnsi" w:hAnsiTheme="minorHAnsi" w:cs="Arial"/>
          <w:i/>
          <w:szCs w:val="22"/>
        </w:rPr>
        <w:t>via</w:t>
      </w:r>
      <w:r w:rsidRPr="00DB700E">
        <w:rPr>
          <w:rFonts w:asciiTheme="minorHAnsi" w:hAnsiTheme="minorHAnsi" w:cs="Arial"/>
          <w:szCs w:val="22"/>
        </w:rPr>
        <w:t xml:space="preserve"> la plateforme</w:t>
      </w:r>
      <w:r w:rsidRPr="00A86E43">
        <w:rPr>
          <w:rFonts w:asciiTheme="minorHAnsi" w:hAnsiTheme="minorHAnsi" w:cs="Arial"/>
          <w:szCs w:val="22"/>
        </w:rPr>
        <w:t xml:space="preserve"> sécurisée PLACE, où par t</w:t>
      </w:r>
      <w:r w:rsidR="00100109">
        <w:rPr>
          <w:rFonts w:asciiTheme="minorHAnsi" w:hAnsiTheme="minorHAnsi" w:cs="Arial"/>
          <w:szCs w:val="22"/>
        </w:rPr>
        <w:t xml:space="preserve">out moyen défini par </w:t>
      </w:r>
      <w:r w:rsidR="000F3797" w:rsidRPr="00CE73DB">
        <w:rPr>
          <w:rFonts w:asciiTheme="minorHAnsi" w:hAnsiTheme="minorHAnsi" w:cs="Arial"/>
          <w:smallCaps/>
          <w:szCs w:val="22"/>
        </w:rPr>
        <w:t>Expertise France</w:t>
      </w:r>
      <w:r w:rsidRPr="00A86E43">
        <w:rPr>
          <w:rFonts w:asciiTheme="minorHAnsi" w:hAnsiTheme="minorHAnsi" w:cs="Arial"/>
          <w:szCs w:val="22"/>
        </w:rPr>
        <w:t xml:space="preserve"> et permettant de garantir la traçabilité des échanges] [par la conclusion d’un avenant].</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49" w:name="_Toc70411395"/>
      <w:bookmarkStart w:id="50" w:name="_Toc126922004"/>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49"/>
      <w:bookmarkEnd w:id="50"/>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1" w:name="_Toc126922005"/>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51"/>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52" w:name="_Toc126922006"/>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52"/>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53" w:name="_Toc126922007"/>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53"/>
    </w:p>
    <w:p w14:paraId="56967F45" w14:textId="77777777" w:rsidR="00197CF8"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32CD4477" w14:textId="41542821" w:rsidR="00783DE8" w:rsidRDefault="00783DE8" w:rsidP="00A1761D">
      <w:pPr>
        <w:pStyle w:val="u"/>
        <w:widowControl w:val="0"/>
        <w:numPr>
          <w:ilvl w:val="12"/>
          <w:numId w:val="0"/>
        </w:numPr>
        <w:ind w:left="562"/>
        <w:rPr>
          <w:rFonts w:asciiTheme="minorHAnsi" w:hAnsiTheme="minorHAnsi" w:cs="Arial"/>
          <w:szCs w:val="22"/>
        </w:rPr>
      </w:pPr>
    </w:p>
    <w:p w14:paraId="54944E35" w14:textId="0CFA138A" w:rsidR="00695E19" w:rsidRDefault="00695E19" w:rsidP="00A1761D">
      <w:pPr>
        <w:pStyle w:val="u"/>
        <w:widowControl w:val="0"/>
        <w:numPr>
          <w:ilvl w:val="12"/>
          <w:numId w:val="0"/>
        </w:numPr>
        <w:ind w:left="562"/>
        <w:rPr>
          <w:rFonts w:asciiTheme="minorHAnsi" w:hAnsiTheme="minorHAnsi" w:cs="Arial"/>
          <w:szCs w:val="22"/>
        </w:rPr>
      </w:pPr>
    </w:p>
    <w:p w14:paraId="70CC40D0" w14:textId="4E5784A6" w:rsidR="00695E19" w:rsidRDefault="00695E19" w:rsidP="00A1761D">
      <w:pPr>
        <w:pStyle w:val="u"/>
        <w:widowControl w:val="0"/>
        <w:numPr>
          <w:ilvl w:val="12"/>
          <w:numId w:val="0"/>
        </w:numPr>
        <w:ind w:left="562"/>
        <w:rPr>
          <w:rFonts w:asciiTheme="minorHAnsi" w:hAnsiTheme="minorHAnsi" w:cs="Arial"/>
          <w:szCs w:val="22"/>
        </w:rPr>
      </w:pPr>
    </w:p>
    <w:p w14:paraId="0E88A06F" w14:textId="77777777" w:rsidR="00695E19" w:rsidRPr="00A86E43" w:rsidRDefault="00695E19" w:rsidP="00A1761D">
      <w:pPr>
        <w:pStyle w:val="u"/>
        <w:widowControl w:val="0"/>
        <w:numPr>
          <w:ilvl w:val="12"/>
          <w:numId w:val="0"/>
        </w:numPr>
        <w:ind w:left="562"/>
        <w:rPr>
          <w:rFonts w:asciiTheme="minorHAnsi" w:hAnsiTheme="minorHAnsi" w:cs="Arial"/>
          <w:szCs w:val="22"/>
        </w:rPr>
      </w:pPr>
    </w:p>
    <w:p w14:paraId="669D6536" w14:textId="77777777" w:rsidR="00656639" w:rsidRPr="00A86E43" w:rsidRDefault="00265A08" w:rsidP="00A1761D">
      <w:pPr>
        <w:pStyle w:val="v"/>
        <w:widowControl w:val="0"/>
        <w:numPr>
          <w:ilvl w:val="0"/>
          <w:numId w:val="9"/>
        </w:numPr>
        <w:spacing w:before="600" w:after="240"/>
        <w:ind w:left="357" w:hanging="357"/>
        <w:outlineLvl w:val="0"/>
        <w:rPr>
          <w:rFonts w:asciiTheme="minorHAnsi" w:hAnsiTheme="minorHAnsi"/>
          <w:b/>
          <w:caps/>
          <w:sz w:val="24"/>
          <w:u w:val="single"/>
        </w:rPr>
      </w:pPr>
      <w:bookmarkStart w:id="54" w:name="_Toc126922008"/>
      <w:r w:rsidRPr="00A86E43">
        <w:rPr>
          <w:rFonts w:asciiTheme="minorHAnsi" w:hAnsiTheme="minorHAnsi"/>
          <w:b/>
          <w:caps/>
          <w:sz w:val="24"/>
          <w:u w:val="single"/>
        </w:rPr>
        <w:lastRenderedPageBreak/>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54"/>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55" w:name="_Toc126922009"/>
      <w:bookmarkStart w:id="56" w:name="_Toc392669651"/>
      <w:r w:rsidRPr="00A86E43">
        <w:rPr>
          <w:rFonts w:asciiTheme="minorHAnsi" w:hAnsiTheme="minorHAnsi"/>
          <w:sz w:val="22"/>
          <w:szCs w:val="22"/>
        </w:rPr>
        <w:t>Définitions</w:t>
      </w:r>
      <w:bookmarkEnd w:id="55"/>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2B8E6FB9" w:rsidR="00897529" w:rsidRPr="00A86E43" w:rsidRDefault="00695E1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w:t>
      </w:r>
      <w:r w:rsidR="00897529" w:rsidRPr="00A86E43">
        <w:rPr>
          <w:rFonts w:asciiTheme="minorHAnsi" w:eastAsia="Times New Roman" w:hAnsiTheme="minorHAnsi" w:cs="Arial"/>
          <w:sz w:val="22"/>
          <w:szCs w:val="22"/>
        </w:rPr>
        <w:t xml:space="preserve"> entend </w:t>
      </w:r>
      <w:r w:rsidR="0003445A" w:rsidRPr="00A86E43">
        <w:rPr>
          <w:rFonts w:asciiTheme="minorHAnsi" w:eastAsia="Times New Roman" w:hAnsiTheme="minorHAnsi" w:cs="Arial"/>
          <w:sz w:val="22"/>
          <w:szCs w:val="22"/>
        </w:rPr>
        <w:t>par</w:t>
      </w:r>
      <w:r w:rsidRPr="00A86E43">
        <w:rPr>
          <w:rFonts w:asciiTheme="minorHAnsi" w:eastAsia="Times New Roman" w:hAnsiTheme="minorHAnsi" w:cs="Arial"/>
          <w:sz w:val="22"/>
          <w:szCs w:val="22"/>
        </w:rPr>
        <w:t xml:space="preserve"> « Résultats »</w:t>
      </w:r>
      <w:r w:rsidR="00897529" w:rsidRPr="00A86E43">
        <w:rPr>
          <w:rFonts w:asciiTheme="minorHAnsi" w:eastAsia="Times New Roman" w:hAnsiTheme="minorHAnsi" w:cs="Arial"/>
          <w:sz w:val="22"/>
          <w:szCs w:val="22"/>
        </w:rPr>
        <w:t xml:space="preserve">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00897529" w:rsidRPr="00A86E43">
        <w:rPr>
          <w:rFonts w:asciiTheme="minorHAnsi" w:eastAsia="Times New Roman" w:hAnsiTheme="minorHAnsi" w:cs="Arial"/>
          <w:sz w:val="22"/>
          <w:szCs w:val="22"/>
        </w:rPr>
        <w:t xml:space="preserve">; </w:t>
      </w:r>
    </w:p>
    <w:p w14:paraId="5FAA7D57" w14:textId="26109DF4" w:rsidR="005F639C" w:rsidRPr="00A86E43" w:rsidRDefault="00695E1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w:t>
      </w:r>
      <w:r w:rsidR="0003445A" w:rsidRPr="00A86E43">
        <w:rPr>
          <w:rFonts w:asciiTheme="minorHAnsi" w:eastAsia="Times New Roman" w:hAnsiTheme="minorHAnsi" w:cs="Arial"/>
          <w:sz w:val="22"/>
          <w:szCs w:val="22"/>
        </w:rPr>
        <w:t xml:space="preserve"> entend par</w:t>
      </w:r>
      <w:r w:rsidRPr="00A86E43">
        <w:rPr>
          <w:rFonts w:asciiTheme="minorHAnsi" w:eastAsia="Times New Roman" w:hAnsiTheme="minorHAnsi" w:cs="Arial"/>
          <w:sz w:val="22"/>
          <w:szCs w:val="22"/>
        </w:rPr>
        <w:t xml:space="preserve"> « Auteur »</w:t>
      </w:r>
      <w:r w:rsidR="00897529" w:rsidRPr="00A86E43">
        <w:rPr>
          <w:rFonts w:asciiTheme="minorHAnsi" w:eastAsia="Times New Roman" w:hAnsiTheme="minorHAnsi" w:cs="Arial"/>
          <w:sz w:val="22"/>
          <w:szCs w:val="22"/>
        </w:rPr>
        <w:t xml:space="preserve">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189E2B92" w:rsidR="00615984" w:rsidRPr="00A86E43" w:rsidRDefault="00695E1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w:t>
      </w:r>
      <w:r w:rsidR="0003445A" w:rsidRPr="00A86E43">
        <w:rPr>
          <w:rFonts w:asciiTheme="minorHAnsi" w:eastAsia="Times New Roman" w:hAnsiTheme="minorHAnsi" w:cs="Arial"/>
          <w:sz w:val="22"/>
          <w:szCs w:val="22"/>
        </w:rPr>
        <w:t xml:space="preserve"> entend par</w:t>
      </w:r>
      <w:r w:rsidRPr="00A86E43">
        <w:rPr>
          <w:rFonts w:asciiTheme="minorHAnsi" w:eastAsia="Times New Roman" w:hAnsiTheme="minorHAnsi" w:cs="Arial"/>
          <w:sz w:val="22"/>
          <w:szCs w:val="22"/>
        </w:rPr>
        <w:t xml:space="preserve"> « Droits</w:t>
      </w:r>
      <w:r w:rsidR="00521CF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Préexistants »</w:t>
      </w:r>
      <w:r w:rsidR="00897529" w:rsidRPr="00A86E43">
        <w:rPr>
          <w:rFonts w:asciiTheme="minorHAnsi" w:eastAsia="Times New Roman" w:hAnsiTheme="minorHAnsi" w:cs="Arial"/>
          <w:sz w:val="22"/>
          <w:szCs w:val="22"/>
        </w:rPr>
        <w:t xml:space="preserve">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57" w:name="_Toc126922010"/>
      <w:r w:rsidRPr="00A86E43">
        <w:rPr>
          <w:rFonts w:asciiTheme="minorHAnsi" w:hAnsiTheme="minorHAnsi"/>
          <w:sz w:val="22"/>
          <w:szCs w:val="22"/>
        </w:rPr>
        <w:t>Propriété des résultats</w:t>
      </w:r>
      <w:bookmarkEnd w:id="57"/>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58" w:name="_Toc126922011"/>
      <w:r w:rsidRPr="00A86E43">
        <w:rPr>
          <w:rFonts w:asciiTheme="minorHAnsi" w:hAnsiTheme="minorHAnsi"/>
          <w:sz w:val="22"/>
          <w:szCs w:val="22"/>
        </w:rPr>
        <w:t>Exploitation des résultats</w:t>
      </w:r>
      <w:bookmarkEnd w:id="58"/>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exploitation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diffusion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sous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sur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par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autre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modifications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modification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ajout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adaptation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lastRenderedPageBreak/>
        <w:t>traduction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59" w:name="_Toc126922012"/>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59"/>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0" w:name="_Toc126922013"/>
      <w:r w:rsidRPr="00A86E43">
        <w:rPr>
          <w:rFonts w:asciiTheme="minorHAnsi" w:hAnsiTheme="minorHAnsi"/>
          <w:sz w:val="22"/>
          <w:szCs w:val="22"/>
        </w:rPr>
        <w:t>Garanties</w:t>
      </w:r>
      <w:bookmarkEnd w:id="60"/>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61" w:name="_Toc126922014"/>
      <w:r w:rsidRPr="00A86E43">
        <w:rPr>
          <w:rFonts w:asciiTheme="minorHAnsi" w:hAnsiTheme="minorHAnsi"/>
          <w:sz w:val="22"/>
          <w:szCs w:val="22"/>
        </w:rPr>
        <w:t>Droits à l’image</w:t>
      </w:r>
      <w:bookmarkEnd w:id="61"/>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2" w:name="_Toc126922015"/>
      <w:bookmarkEnd w:id="56"/>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62"/>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63" w:name="_Toc126922016"/>
      <w:r w:rsidRPr="00A86E43">
        <w:rPr>
          <w:rFonts w:asciiTheme="minorHAnsi" w:hAnsiTheme="minorHAnsi" w:cstheme="minorHAnsi"/>
          <w:sz w:val="22"/>
          <w:szCs w:val="22"/>
        </w:rPr>
        <w:t>Modalités générales de résiliation</w:t>
      </w:r>
      <w:bookmarkEnd w:id="63"/>
    </w:p>
    <w:p w14:paraId="1D7F1F4E" w14:textId="11B00FDB" w:rsidR="0000635E" w:rsidRPr="00141D15" w:rsidRDefault="0000635E" w:rsidP="00A1761D">
      <w:pPr>
        <w:spacing w:line="240" w:lineRule="auto"/>
        <w:ind w:left="567"/>
        <w:jc w:val="both"/>
        <w:rPr>
          <w:rFonts w:asciiTheme="minorHAnsi" w:hAnsiTheme="minorHAnsi" w:cstheme="minorHAnsi"/>
          <w:sz w:val="22"/>
          <w:szCs w:val="22"/>
        </w:rPr>
      </w:pPr>
      <w:r w:rsidRPr="00141D15">
        <w:rPr>
          <w:rFonts w:asciiTheme="minorHAnsi" w:hAnsiTheme="minorHAnsi" w:cstheme="minorHAnsi"/>
          <w:sz w:val="22"/>
          <w:szCs w:val="22"/>
        </w:rPr>
        <w:t xml:space="preserve">Le présent </w:t>
      </w:r>
      <w:r w:rsidRPr="00141D15">
        <w:rPr>
          <w:rFonts w:asciiTheme="minorHAnsi" w:hAnsiTheme="minorHAnsi" w:cstheme="minorHAnsi"/>
          <w:smallCaps/>
          <w:sz w:val="22"/>
          <w:szCs w:val="22"/>
        </w:rPr>
        <w:t>contrat</w:t>
      </w:r>
      <w:r w:rsidRPr="00141D15">
        <w:rPr>
          <w:rFonts w:asciiTheme="minorHAnsi" w:hAnsiTheme="minorHAnsi" w:cstheme="minorHAnsi"/>
          <w:sz w:val="22"/>
          <w:szCs w:val="22"/>
        </w:rPr>
        <w:t xml:space="preserve"> est soumis aux clauses de résiliation telle que défini</w:t>
      </w:r>
      <w:r w:rsidR="00884FDC" w:rsidRPr="00141D15">
        <w:rPr>
          <w:rFonts w:asciiTheme="minorHAnsi" w:hAnsiTheme="minorHAnsi" w:cstheme="minorHAnsi"/>
          <w:sz w:val="22"/>
          <w:szCs w:val="22"/>
        </w:rPr>
        <w:t>es aux articles 29 à 36 du CCAG</w:t>
      </w:r>
      <w:r w:rsidR="00B813FE" w:rsidRPr="00141D15">
        <w:rPr>
          <w:rFonts w:asciiTheme="minorHAnsi" w:hAnsiTheme="minorHAnsi" w:cstheme="minorHAnsi"/>
          <w:sz w:val="22"/>
          <w:szCs w:val="22"/>
        </w:rPr>
        <w:t xml:space="preserve"> FCS</w:t>
      </w:r>
      <w:r w:rsidRPr="00141D15">
        <w:rPr>
          <w:rFonts w:asciiTheme="minorHAnsi" w:hAnsiTheme="minorHAnsi" w:cstheme="minorHAnsi"/>
          <w:sz w:val="22"/>
          <w:szCs w:val="22"/>
        </w:rPr>
        <w:t>.</w:t>
      </w:r>
    </w:p>
    <w:p w14:paraId="58C218A4" w14:textId="0294EF46" w:rsidR="00704355" w:rsidRPr="00141D15" w:rsidRDefault="00704355" w:rsidP="00A1761D">
      <w:pPr>
        <w:spacing w:line="240" w:lineRule="auto"/>
        <w:ind w:left="567"/>
        <w:jc w:val="both"/>
        <w:rPr>
          <w:rFonts w:asciiTheme="minorHAnsi" w:hAnsiTheme="minorHAnsi" w:cstheme="minorHAnsi"/>
          <w:sz w:val="22"/>
          <w:szCs w:val="22"/>
        </w:rPr>
      </w:pPr>
    </w:p>
    <w:p w14:paraId="26AC07CE" w14:textId="123EE5CE" w:rsidR="00704355" w:rsidRPr="00A86E43" w:rsidRDefault="00912BFE" w:rsidP="00A1761D">
      <w:pPr>
        <w:spacing w:line="240" w:lineRule="auto"/>
        <w:ind w:left="567"/>
        <w:jc w:val="both"/>
        <w:rPr>
          <w:rFonts w:asciiTheme="minorHAnsi" w:hAnsiTheme="minorHAnsi" w:cstheme="minorHAnsi"/>
          <w:sz w:val="22"/>
          <w:szCs w:val="22"/>
        </w:rPr>
      </w:pPr>
      <w:r w:rsidRPr="00141D15">
        <w:rPr>
          <w:rFonts w:asciiTheme="minorHAnsi" w:hAnsiTheme="minorHAnsi" w:cstheme="minorHAnsi"/>
          <w:sz w:val="22"/>
          <w:szCs w:val="22"/>
        </w:rPr>
        <w:t xml:space="preserve">Par dérogation à l’article </w:t>
      </w:r>
      <w:r w:rsidR="000C75D3" w:rsidRPr="00141D15">
        <w:rPr>
          <w:rFonts w:asciiTheme="minorHAnsi" w:hAnsiTheme="minorHAnsi" w:cstheme="minorHAnsi"/>
          <w:sz w:val="22"/>
          <w:szCs w:val="22"/>
        </w:rPr>
        <w:t xml:space="preserve">42 du CCAG FCS </w:t>
      </w:r>
      <w:r>
        <w:rPr>
          <w:rFonts w:asciiTheme="minorHAnsi" w:hAnsiTheme="minorHAnsi" w:cstheme="minorHAnsi"/>
          <w:sz w:val="22"/>
          <w:szCs w:val="22"/>
        </w:rPr>
        <w:t xml:space="preserve">la résiliation pour motif d’intérêt générale n’est pas applicable au présent contrat. Toutefois les parties s’accordent la possibilité de recourir à la résiliation d’un commun accord. </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64" w:name="_Toc126922018"/>
      <w:r w:rsidRPr="00A86E43">
        <w:rPr>
          <w:rFonts w:asciiTheme="minorHAnsi" w:hAnsiTheme="minorHAnsi" w:cstheme="minorHAnsi"/>
          <w:sz w:val="22"/>
          <w:szCs w:val="22"/>
        </w:rPr>
        <w:t>Procédure</w:t>
      </w:r>
      <w:bookmarkEnd w:id="64"/>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lastRenderedPageBreak/>
        <w:t> </w:t>
      </w:r>
      <w:bookmarkStart w:id="65" w:name="_Toc126922019"/>
      <w:r w:rsidR="00386EE8" w:rsidRPr="00E41C9A">
        <w:rPr>
          <w:rFonts w:asciiTheme="minorHAnsi" w:hAnsiTheme="minorHAnsi"/>
          <w:b/>
          <w:caps/>
          <w:sz w:val="24"/>
          <w:u w:val="single"/>
        </w:rPr>
        <w:t>Mesures et responsabilités en matière de sûreté et de sécurité</w:t>
      </w:r>
      <w:bookmarkEnd w:id="65"/>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66"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66"/>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67" w:name="_Toc126922020"/>
      <w:r w:rsidRPr="00A86E43">
        <w:rPr>
          <w:rFonts w:asciiTheme="minorHAnsi" w:hAnsiTheme="minorHAnsi"/>
          <w:b/>
          <w:caps/>
          <w:sz w:val="24"/>
          <w:u w:val="single"/>
        </w:rPr>
        <w:t>Éthique</w:t>
      </w:r>
      <w:bookmarkEnd w:id="67"/>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8">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19"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68"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68"/>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9" w:name="_Toc70410857"/>
      <w:bookmarkStart w:id="70" w:name="_Toc70410991"/>
      <w:bookmarkStart w:id="71" w:name="_Toc70411545"/>
      <w:bookmarkStart w:id="72" w:name="_Toc70410858"/>
      <w:bookmarkStart w:id="73" w:name="_Toc70410992"/>
      <w:bookmarkStart w:id="74" w:name="_Toc70411546"/>
      <w:bookmarkStart w:id="75" w:name="_Toc70410859"/>
      <w:bookmarkStart w:id="76" w:name="_Toc70410993"/>
      <w:bookmarkStart w:id="77" w:name="_Toc70411547"/>
      <w:bookmarkStart w:id="78" w:name="_Toc70410860"/>
      <w:bookmarkStart w:id="79" w:name="_Toc70410994"/>
      <w:bookmarkStart w:id="80" w:name="_Toc70411548"/>
      <w:bookmarkStart w:id="81" w:name="_Toc70410861"/>
      <w:bookmarkStart w:id="82" w:name="_Toc70410995"/>
      <w:bookmarkStart w:id="83" w:name="_Toc70411549"/>
      <w:bookmarkStart w:id="84" w:name="_Toc70410862"/>
      <w:bookmarkStart w:id="85" w:name="_Toc70410996"/>
      <w:bookmarkStart w:id="86" w:name="_Toc70411550"/>
      <w:bookmarkStart w:id="87" w:name="_Toc70410863"/>
      <w:bookmarkStart w:id="88" w:name="_Toc70410997"/>
      <w:bookmarkStart w:id="89" w:name="_Toc70411551"/>
      <w:bookmarkStart w:id="90" w:name="_Toc70410866"/>
      <w:bookmarkStart w:id="91" w:name="_Toc70411000"/>
      <w:bookmarkStart w:id="92" w:name="_Toc70411554"/>
      <w:bookmarkStart w:id="93" w:name="_Toc70410867"/>
      <w:bookmarkStart w:id="94" w:name="_Toc70411001"/>
      <w:bookmarkStart w:id="95" w:name="_Toc70411555"/>
      <w:bookmarkStart w:id="96" w:name="_Toc70410868"/>
      <w:bookmarkStart w:id="97" w:name="_Toc70411002"/>
      <w:bookmarkStart w:id="98" w:name="_Toc70411556"/>
      <w:bookmarkStart w:id="99" w:name="_Toc70410871"/>
      <w:bookmarkStart w:id="100" w:name="_Toc70411005"/>
      <w:bookmarkStart w:id="101" w:name="_Toc70411559"/>
      <w:bookmarkStart w:id="102" w:name="_Toc70410872"/>
      <w:bookmarkStart w:id="103" w:name="_Toc70411006"/>
      <w:bookmarkStart w:id="104" w:name="_Toc70411560"/>
      <w:bookmarkStart w:id="105" w:name="_Toc70410876"/>
      <w:bookmarkStart w:id="106" w:name="_Toc70411010"/>
      <w:bookmarkStart w:id="107" w:name="_Toc70411564"/>
      <w:bookmarkStart w:id="108" w:name="_Toc70410877"/>
      <w:bookmarkStart w:id="109" w:name="_Toc70411011"/>
      <w:bookmarkStart w:id="110" w:name="_Toc70411565"/>
      <w:bookmarkStart w:id="111" w:name="_Toc70410878"/>
      <w:bookmarkStart w:id="112" w:name="_Toc70411012"/>
      <w:bookmarkStart w:id="113" w:name="_Toc70411566"/>
      <w:bookmarkStart w:id="114" w:name="_Toc126922021"/>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14"/>
    </w:p>
    <w:p w14:paraId="02EA39B7" w14:textId="452AE74E"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présent </w:t>
      </w:r>
      <w:r w:rsidR="000E1BED">
        <w:rPr>
          <w:rFonts w:asciiTheme="minorHAnsi" w:eastAsia="Times New Roman" w:hAnsiTheme="minorHAnsi" w:cstheme="minorHAnsi"/>
          <w:smallCaps/>
          <w:sz w:val="22"/>
        </w:rPr>
        <w:t>C</w:t>
      </w:r>
      <w:r w:rsidRPr="000E1BED">
        <w:rPr>
          <w:rFonts w:asciiTheme="minorHAnsi" w:eastAsia="Times New Roman" w:hAnsiTheme="minorHAnsi" w:cstheme="minorHAnsi"/>
          <w:smallCaps/>
          <w:sz w:val="22"/>
        </w:rPr>
        <w:t>ontrat</w:t>
      </w:r>
      <w:r w:rsidRPr="00A86E43">
        <w:rPr>
          <w:rFonts w:asciiTheme="minorHAnsi" w:eastAsia="Times New Roman" w:hAnsiTheme="minorHAnsi" w:cstheme="minorHAnsi"/>
          <w:sz w:val="22"/>
        </w:rPr>
        <w:t xml:space="preserve"> peut comporter un ou des traitement(s) de données à caractère personnel. Les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6EB4D99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w:t>
      </w:r>
      <w:r w:rsidR="009A0B7B" w:rsidRPr="009A0B7B">
        <w:rPr>
          <w:rFonts w:asciiTheme="minorHAnsi" w:hAnsiTheme="minorHAnsi" w:cstheme="minorHAnsi"/>
          <w:smallCaps/>
          <w:sz w:val="22"/>
        </w:rPr>
        <w:t>Contractant</w:t>
      </w:r>
      <w:r w:rsidRPr="00A86E43">
        <w:rPr>
          <w:rFonts w:asciiTheme="minorHAnsi" w:eastAsia="Times New Roman" w:hAnsiTheme="minorHAnsi" w:cstheme="minorHAnsi"/>
          <w:sz w:val="22"/>
        </w:rPr>
        <w:t xml:space="preserve"> s’engage, notamment, à :</w:t>
      </w:r>
    </w:p>
    <w:p w14:paraId="2B0CC4A9"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Traiter les données à caractère personnel uniquement pour la ou les seule(s) finalité(s) qui fait/font l’objet du présent contrat</w:t>
      </w:r>
      <w:r w:rsidR="00684E75" w:rsidRPr="00A86E43">
        <w:rPr>
          <w:rFonts w:asciiTheme="minorHAnsi" w:eastAsia="Times New Roman" w:hAnsiTheme="minorHAnsi" w:cstheme="minorHAnsi"/>
          <w:sz w:val="22"/>
        </w:rPr>
        <w:t>, telles qu’elles sont précisées dans l’annexe portant sur la collecte des données personnelles (sous-traitant RGPD)</w:t>
      </w:r>
      <w:r w:rsidRPr="00A86E43">
        <w:rPr>
          <w:rFonts w:asciiTheme="minorHAnsi" w:eastAsia="Times New Roman" w:hAnsiTheme="minorHAnsi" w:cstheme="minorHAnsi"/>
          <w:sz w:val="22"/>
        </w:rPr>
        <w:t> ;</w:t>
      </w:r>
    </w:p>
    <w:p w14:paraId="23E15E8A"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Veiller à ce que les personnes autorisées à traiter les données à caractère personnel s’engagent à respecter la confidentialité ou soient soumises à une obligation légale appropriée de confidentialité ;</w:t>
      </w:r>
    </w:p>
    <w:p w14:paraId="17F49121"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Mettre en œuvre les mesures techniques et organisationnelles appropriées afin de garantir un niveau de sécurité adapté aux risques résultant du contrat dont, notamment, le chiffrement, la confidentialité et l’intégrité des données ;</w:t>
      </w:r>
    </w:p>
    <w:p w14:paraId="1C704CEC"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Notifier à </w:t>
      </w:r>
      <w:r w:rsidR="003E5AA6"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par tout moyen, toute violation de données à caractère personnel dans un délai maximum de 24 heures après en avoir pris connaissance.</w:t>
      </w:r>
    </w:p>
    <w:p w14:paraId="1B43BA7A" w14:textId="77777777" w:rsidR="006E2037"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Aider </w:t>
      </w:r>
      <w:r w:rsidR="003E5AA6"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à s’acquitter de son obligation de donner suite aux demandes dont les personnes concernées le saisissent ;</w:t>
      </w:r>
    </w:p>
    <w:p w14:paraId="10558B67" w14:textId="77777777" w:rsidR="006E2037"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Supprimer toutes les données à caractère personnel ou les renvoyer à </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au terme de la prestation de services relative au contrat, selon le choix de cette dernière, à moins que le droit de l’Union ou le droit de l’Etat membre n’exige la conservation desdites données ;</w:t>
      </w:r>
    </w:p>
    <w:p w14:paraId="3CD1A0EC"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lastRenderedPageBreak/>
        <w:t>Mettre à la disposition d’</w:t>
      </w:r>
      <w:r w:rsidR="003E5AA6" w:rsidRPr="003E5AA6">
        <w:rPr>
          <w:rFonts w:asciiTheme="minorHAnsi" w:hAnsiTheme="minorHAnsi" w:cs="Arial"/>
          <w:smallCaps/>
          <w:szCs w:val="22"/>
        </w:rPr>
        <w:t xml:space="preserve"> </w:t>
      </w:r>
      <w:r w:rsidR="003E5AA6">
        <w:rPr>
          <w:rFonts w:asciiTheme="minorHAnsi" w:hAnsiTheme="minorHAnsi" w:cs="Arial"/>
          <w:smallCaps/>
          <w:szCs w:val="22"/>
        </w:rPr>
        <w:t>Expertise France</w:t>
      </w:r>
      <w:r w:rsidR="003E5AA6" w:rsidRPr="00A86E43">
        <w:rPr>
          <w:rFonts w:asciiTheme="minorHAnsi" w:eastAsia="Times New Roman" w:hAnsiTheme="minorHAnsi" w:cstheme="minorHAnsi"/>
          <w:sz w:val="22"/>
        </w:rPr>
        <w:t xml:space="preserve"> </w:t>
      </w:r>
      <w:r w:rsidRPr="00A86E43">
        <w:rPr>
          <w:rFonts w:asciiTheme="minorHAnsi" w:eastAsia="Times New Roman" w:hAnsiTheme="minorHAnsi" w:cstheme="minorHAnsi"/>
          <w:sz w:val="22"/>
        </w:rPr>
        <w:t>toutes les informations nécessaires pour démontrer le respect des obligations prévues au présent article et permettre la réalisation d’audits par elle ou toute autre personne qu’il a mandatée.</w:t>
      </w:r>
    </w:p>
    <w:p w14:paraId="5117418B"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Lorsque le </w:t>
      </w:r>
      <w:r w:rsidR="00FF5377"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fait appel à un sous-traitant pour mener des activités de traitement des données personnelles dans le cadre de l’exécution du contrat, il doit au préalable recueillir l’autorisation écrite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même, le titulaire informe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tout changement prévu concernant l’ajout ou le remplacement d’autres sous-traitants donnant ainsi la possibilité à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d’émettre des objections à l’encontre de ces changements.</w:t>
      </w:r>
    </w:p>
    <w:p w14:paraId="043A5A1A" w14:textId="77777777" w:rsidR="006536FA" w:rsidRPr="00A86E43" w:rsidRDefault="006536FA" w:rsidP="006536FA">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mêmes obligations en matière de protection des données que celles fixées dans le contrat entre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et le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demeure pleinement responsable devant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l’exécution des obligations du sous-traitant. </w:t>
      </w:r>
    </w:p>
    <w:p w14:paraId="4D9F3A70" w14:textId="19F877E0" w:rsidR="002A19B9" w:rsidRPr="00A86E43" w:rsidRDefault="006536FA" w:rsidP="00A1761D">
      <w:pPr>
        <w:widowControl w:val="0"/>
        <w:tabs>
          <w:tab w:val="left" w:pos="567"/>
        </w:tabs>
        <w:spacing w:before="120" w:line="240" w:lineRule="auto"/>
        <w:ind w:left="567"/>
        <w:jc w:val="both"/>
        <w:rPr>
          <w:rFonts w:asciiTheme="minorHAnsi" w:hAnsiTheme="minorHAnsi" w:cstheme="minorHAnsi"/>
          <w:snapToGrid w:val="0"/>
          <w:sz w:val="22"/>
        </w:rPr>
      </w:pPr>
      <w:r w:rsidRPr="00A86E43">
        <w:rPr>
          <w:rFonts w:asciiTheme="minorHAnsi" w:eastAsia="Times New Roman" w:hAnsiTheme="minorHAnsi" w:cstheme="minorHAnsi"/>
          <w:sz w:val="22"/>
        </w:rPr>
        <w:t xml:space="preserve">Il est rappelé que, en cas de non-respect des dispositions précitées, la responsabilité du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peut être engagée.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pourra prononcer la résiliation immédiate du contrat, sans indemnité en faveur du </w:t>
      </w:r>
      <w:r w:rsidR="00391DA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en cas de violation du secret professionnel ou de non-respect des dispositions précitées.</w:t>
      </w:r>
    </w:p>
    <w:p w14:paraId="6DF03323" w14:textId="1F82E249"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15" w:name="_Toc126922023"/>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15"/>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5 déroge aux dispositions de l’article 28 et 15 du CCAG ;</w:t>
      </w:r>
    </w:p>
    <w:p w14:paraId="6ADE58F4" w14:textId="0E25EB22" w:rsidR="00822D98" w:rsidRP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9 déroge aux dispositions de l’article 14 du CCAG</w:t>
      </w:r>
      <w:r>
        <w:rPr>
          <w:rFonts w:asciiTheme="minorHAnsi" w:eastAsia="Times New Roman" w:hAnsiTheme="minorHAnsi" w:cstheme="minorHAnsi"/>
          <w:sz w:val="22"/>
          <w:szCs w:val="22"/>
        </w:rPr>
        <w:t> ;</w:t>
      </w: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AUDIT</w:t>
      </w:r>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bookmarkStart w:id="116" w:name="_Toc126922024"/>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lastRenderedPageBreak/>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1"/>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77C7E7DE"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1E84EF86" w14:textId="5DC2F18C" w:rsidR="005C157F" w:rsidRDefault="005C157F" w:rsidP="005C157F">
      <w:pPr>
        <w:pStyle w:val="u"/>
        <w:tabs>
          <w:tab w:val="left" w:pos="0"/>
        </w:tabs>
        <w:rPr>
          <w:rFonts w:asciiTheme="minorHAnsi" w:hAnsiTheme="minorHAnsi" w:cstheme="minorHAnsi"/>
          <w:szCs w:val="22"/>
        </w:rPr>
      </w:pPr>
    </w:p>
    <w:p w14:paraId="330C3C33" w14:textId="77777777" w:rsidR="005C157F" w:rsidRPr="00A86E43" w:rsidRDefault="005C157F" w:rsidP="005C157F">
      <w:pPr>
        <w:pStyle w:val="v"/>
        <w:widowControl w:val="0"/>
        <w:numPr>
          <w:ilvl w:val="0"/>
          <w:numId w:val="9"/>
        </w:numPr>
        <w:spacing w:before="600" w:after="240"/>
        <w:ind w:hanging="1211"/>
        <w:outlineLvl w:val="0"/>
        <w:rPr>
          <w:rFonts w:asciiTheme="minorHAnsi" w:hAnsiTheme="minorHAnsi"/>
          <w:b/>
          <w:caps/>
          <w:sz w:val="24"/>
          <w:u w:val="single"/>
        </w:rPr>
      </w:pPr>
      <w:bookmarkStart w:id="117" w:name="_Toc126922022"/>
      <w:r w:rsidRPr="00A86E43">
        <w:rPr>
          <w:rFonts w:asciiTheme="minorHAnsi" w:hAnsiTheme="minorHAnsi"/>
          <w:b/>
          <w:caps/>
          <w:sz w:val="24"/>
          <w:u w:val="single"/>
        </w:rPr>
        <w:t>RÈglement des litiges - DROIT Français APPLICABLE</w:t>
      </w:r>
      <w:bookmarkEnd w:id="117"/>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77777777" w:rsidR="005C157F" w:rsidRPr="00D1129B"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AB9770E" w14:textId="77777777" w:rsidR="005C157F" w:rsidRPr="008A347A" w:rsidRDefault="005C157F" w:rsidP="005C157F">
      <w:pPr>
        <w:pStyle w:val="u"/>
        <w:tabs>
          <w:tab w:val="left" w:pos="0"/>
        </w:tabs>
        <w:rPr>
          <w:rFonts w:asciiTheme="minorHAnsi" w:hAnsiTheme="minorHAnsi" w:cstheme="minorHAnsi"/>
          <w:szCs w:val="22"/>
        </w:rPr>
      </w:pP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A86E43">
        <w:rPr>
          <w:rFonts w:asciiTheme="minorHAnsi" w:hAnsiTheme="minorHAnsi"/>
          <w:b/>
          <w:caps/>
          <w:sz w:val="24"/>
          <w:u w:val="single"/>
        </w:rPr>
        <w:t>Dispositions finales</w:t>
      </w:r>
      <w:bookmarkEnd w:id="116"/>
    </w:p>
    <w:p w14:paraId="48B71179" w14:textId="77777777" w:rsidR="00800C6C" w:rsidRDefault="00800C6C" w:rsidP="00A1761D">
      <w:pPr>
        <w:pStyle w:val="Titre2"/>
        <w:spacing w:before="120" w:after="60"/>
        <w:jc w:val="both"/>
        <w:rPr>
          <w:rFonts w:asciiTheme="minorHAnsi" w:hAnsiTheme="minorHAnsi"/>
          <w:sz w:val="22"/>
          <w:szCs w:val="22"/>
        </w:rPr>
      </w:pPr>
      <w:bookmarkStart w:id="118" w:name="_Toc392669654"/>
      <w:bookmarkStart w:id="119" w:name="_Toc126922025"/>
      <w:r w:rsidRPr="00A86E43">
        <w:rPr>
          <w:rFonts w:asciiTheme="minorHAnsi" w:hAnsiTheme="minorHAnsi"/>
          <w:sz w:val="22"/>
          <w:szCs w:val="22"/>
        </w:rPr>
        <w:t>Déclaration</w:t>
      </w:r>
      <w:bookmarkEnd w:id="118"/>
      <w:bookmarkEnd w:id="119"/>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40D17EFF" w:rsidR="00053E76" w:rsidRDefault="00AD086A"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w:t>
      </w:r>
      <w:r w:rsidR="00276A02" w:rsidRPr="00053E76">
        <w:rPr>
          <w:rFonts w:asciiTheme="minorHAnsi" w:hAnsiTheme="minorHAnsi" w:cs="Arial"/>
          <w:sz w:val="22"/>
          <w:szCs w:val="22"/>
        </w:rPr>
        <w:t xml:space="preserve"> des personnes physiq</w:t>
      </w:r>
      <w:r w:rsidR="009757EE">
        <w:rPr>
          <w:rFonts w:asciiTheme="minorHAnsi" w:hAnsiTheme="minorHAnsi" w:cs="Arial"/>
          <w:sz w:val="22"/>
          <w:szCs w:val="22"/>
        </w:rPr>
        <w:t xml:space="preserve">ues ou morales pour lesquelles </w:t>
      </w:r>
      <w:r w:rsidR="00276A02"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00276A02"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w:t>
      </w:r>
      <w:bookmarkStart w:id="120" w:name="_GoBack"/>
      <w:bookmarkEnd w:id="120"/>
      <w:r w:rsidRPr="00053E76">
        <w:rPr>
          <w:rFonts w:asciiTheme="minorHAnsi" w:hAnsiTheme="minorHAnsi" w:cs="Arial"/>
          <w:sz w:val="22"/>
          <w:szCs w:val="22"/>
        </w:rPr>
        <w:t>et L.</w:t>
      </w:r>
      <w:r w:rsidR="00391DA6" w:rsidRPr="00053E76">
        <w:rPr>
          <w:rFonts w:asciiTheme="minorHAnsi" w:hAnsiTheme="minorHAnsi" w:cs="Arial"/>
          <w:sz w:val="22"/>
          <w:szCs w:val="22"/>
        </w:rPr>
        <w:t xml:space="preserve">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00276A02"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4001D055" w:rsidR="00AC2DCA" w:rsidRDefault="00AD086A"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w:t>
      </w:r>
      <w:r w:rsidR="00276A02" w:rsidRPr="00053E76">
        <w:rPr>
          <w:rFonts w:asciiTheme="minorHAnsi" w:hAnsiTheme="minorHAnsi" w:cs="Arial"/>
          <w:sz w:val="22"/>
          <w:szCs w:val="22"/>
        </w:rPr>
        <w:t xml:space="preserv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00276A02"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00276A02"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00276A02"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20A22299" w:rsidR="00AC2DCA" w:rsidRDefault="00AD086A"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Que</w:t>
      </w:r>
      <w:r w:rsidR="00D25794">
        <w:rPr>
          <w:rFonts w:asciiTheme="minorHAnsi" w:hAnsiTheme="minorHAnsi" w:cs="Arial"/>
          <w:sz w:val="22"/>
          <w:szCs w:val="22"/>
        </w:rPr>
        <w:t xml:space="preserve"> le </w:t>
      </w:r>
      <w:r w:rsidR="00D25794">
        <w:rPr>
          <w:rFonts w:asciiTheme="minorHAnsi" w:eastAsia="Times New Roman" w:hAnsiTheme="minorHAnsi" w:cstheme="minorHAnsi"/>
          <w:smallCaps/>
          <w:sz w:val="22"/>
        </w:rPr>
        <w:t>Contractant</w:t>
      </w:r>
      <w:r w:rsidR="00D25794"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lastRenderedPageBreak/>
        <w:t xml:space="preserve">que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0"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1"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2"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3"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4"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5"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2"/>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6"/>
          <w:pgSz w:w="11906" w:h="16838" w:code="9"/>
          <w:pgMar w:top="902" w:right="1009" w:bottom="720" w:left="1151" w:header="397" w:footer="907" w:gutter="0"/>
          <w:cols w:space="708"/>
          <w:docGrid w:linePitch="360"/>
        </w:sectPr>
      </w:pPr>
    </w:p>
    <w:p w14:paraId="69EAC968"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21" w:name="_Toc126922026"/>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21"/>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7"/>
      <w:footerReference w:type="even" r:id="rId28"/>
      <w:footerReference w:type="default" r:id="rId29"/>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4C908B" w14:textId="77777777" w:rsidR="00694FB5" w:rsidRDefault="00694FB5">
      <w:r>
        <w:separator/>
      </w:r>
    </w:p>
  </w:endnote>
  <w:endnote w:type="continuationSeparator" w:id="0">
    <w:p w14:paraId="6CDFB13B" w14:textId="77777777" w:rsidR="00694FB5" w:rsidRDefault="00694F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22AEE" w14:textId="77777777" w:rsidR="00E36056" w:rsidRDefault="00E36056">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E36056" w:rsidRDefault="00E36056"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Content>
      <w:sdt>
        <w:sdtPr>
          <w:rPr>
            <w:rFonts w:asciiTheme="minorHAnsi" w:hAnsiTheme="minorHAnsi"/>
            <w:sz w:val="22"/>
            <w:szCs w:val="22"/>
          </w:rPr>
          <w:id w:val="170003633"/>
          <w:docPartObj>
            <w:docPartGallery w:val="Page Numbers (Top of Page)"/>
            <w:docPartUnique/>
          </w:docPartObj>
        </w:sdtPr>
        <w:sdtContent>
          <w:p w14:paraId="27D07E1A" w14:textId="10FF90BE" w:rsidR="00E36056" w:rsidRDefault="00E36056"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AD086A">
              <w:rPr>
                <w:rFonts w:asciiTheme="minorHAnsi" w:hAnsiTheme="minorHAnsi"/>
                <w:b/>
                <w:bCs/>
                <w:noProof/>
                <w:sz w:val="22"/>
                <w:szCs w:val="22"/>
              </w:rPr>
              <w:t>18</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AD086A">
              <w:rPr>
                <w:rFonts w:asciiTheme="minorHAnsi" w:hAnsiTheme="minorHAnsi"/>
                <w:b/>
                <w:bCs/>
                <w:noProof/>
                <w:sz w:val="22"/>
                <w:szCs w:val="22"/>
              </w:rPr>
              <w:t>20</w:t>
            </w:r>
            <w:r>
              <w:rPr>
                <w:rFonts w:asciiTheme="minorHAnsi" w:hAnsiTheme="minorHAnsi"/>
                <w:sz w:val="22"/>
                <w:szCs w:val="22"/>
              </w:rPr>
              <w:fldChar w:fldCharType="end"/>
            </w:r>
          </w:p>
        </w:sdtContent>
      </w:sdt>
      <w:p w14:paraId="0482806B" w14:textId="77777777" w:rsidR="00E36056" w:rsidRDefault="00E36056" w:rsidP="00065565">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E36056" w:rsidRDefault="00E36056"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Content>
      <w:sdt>
        <w:sdtPr>
          <w:rPr>
            <w:rFonts w:asciiTheme="minorHAnsi" w:hAnsiTheme="minorHAnsi"/>
            <w:sz w:val="22"/>
            <w:szCs w:val="22"/>
          </w:rPr>
          <w:id w:val="-1884156990"/>
          <w:docPartObj>
            <w:docPartGallery w:val="Page Numbers (Top of Page)"/>
            <w:docPartUnique/>
          </w:docPartObj>
        </w:sdtPr>
        <w:sdtContent>
          <w:p w14:paraId="53859255" w14:textId="701B947B" w:rsidR="00E36056" w:rsidRDefault="00E36056"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AD086A">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AD086A">
              <w:rPr>
                <w:rFonts w:asciiTheme="minorHAnsi" w:hAnsiTheme="minorHAnsi"/>
                <w:b/>
                <w:bCs/>
                <w:noProof/>
                <w:sz w:val="22"/>
                <w:szCs w:val="22"/>
              </w:rPr>
              <w:t>20</w:t>
            </w:r>
            <w:r>
              <w:rPr>
                <w:rFonts w:asciiTheme="minorHAnsi" w:hAnsiTheme="minorHAnsi"/>
                <w:b/>
                <w:bCs/>
                <w:sz w:val="22"/>
                <w:szCs w:val="22"/>
              </w:rPr>
              <w:fldChar w:fldCharType="end"/>
            </w:r>
          </w:p>
          <w:p w14:paraId="464BBB64" w14:textId="7DA50AAB" w:rsidR="00E36056" w:rsidRDefault="00E36056"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E36056" w:rsidRDefault="00E36056"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E36056" w:rsidRPr="00065565" w:rsidRDefault="00E36056"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E36056" w:rsidRDefault="00E36056">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E36056" w:rsidRPr="00EE0FDD" w:rsidRDefault="00E36056"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Content>
      <w:p w14:paraId="7417048D" w14:textId="7EE56748" w:rsidR="00E36056" w:rsidRPr="00FF1F8E" w:rsidRDefault="00E36056"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AD086A">
          <w:rPr>
            <w:rFonts w:asciiTheme="minorHAnsi" w:hAnsiTheme="minorHAnsi"/>
            <w:b/>
            <w:bCs/>
            <w:noProof/>
            <w:sz w:val="22"/>
            <w:szCs w:val="22"/>
          </w:rPr>
          <w:t>20</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AD086A">
          <w:rPr>
            <w:rFonts w:asciiTheme="minorHAnsi" w:hAnsiTheme="minorHAnsi"/>
            <w:b/>
            <w:bCs/>
            <w:noProof/>
            <w:sz w:val="22"/>
            <w:szCs w:val="22"/>
          </w:rPr>
          <w:t>20</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875F1F" w14:textId="77777777" w:rsidR="00694FB5" w:rsidRDefault="00694FB5">
      <w:r>
        <w:separator/>
      </w:r>
    </w:p>
  </w:footnote>
  <w:footnote w:type="continuationSeparator" w:id="0">
    <w:p w14:paraId="3C6BF06E" w14:textId="77777777" w:rsidR="00694FB5" w:rsidRDefault="00694FB5">
      <w:r>
        <w:continuationSeparator/>
      </w:r>
    </w:p>
  </w:footnote>
  <w:footnote w:id="1">
    <w:p w14:paraId="73F627CC" w14:textId="77777777" w:rsidR="00E36056" w:rsidRPr="00B21564" w:rsidRDefault="00E36056"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1"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2">
    <w:p w14:paraId="63ABC744" w14:textId="77777777" w:rsidR="00E36056" w:rsidRPr="00A86E43" w:rsidRDefault="00E36056"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3">
    <w:p w14:paraId="500875E9" w14:textId="77777777" w:rsidR="00E36056" w:rsidRDefault="00E36056"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846E8" w14:textId="77777777" w:rsidR="00E36056" w:rsidRDefault="00E36056">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E36056" w:rsidRPr="00707B69" w:rsidRDefault="00E36056"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E36056" w:rsidRPr="00AC48DD" w:rsidRDefault="00E36056"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E36056" w:rsidRDefault="00E36056"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E36056" w:rsidRPr="00AC48DD" w:rsidRDefault="00E36056"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E36056" w:rsidRDefault="00E36056">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E36056" w:rsidRDefault="00E36056">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E36056" w:rsidRPr="00707B69" w:rsidRDefault="00E36056"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E36056" w:rsidRPr="00AC48DD" w:rsidRDefault="00E36056"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E36056" w:rsidRDefault="00E36056"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E36056" w:rsidRPr="00AC48DD" w:rsidRDefault="00E36056"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E36056" w:rsidRPr="00707B69" w:rsidRDefault="00E36056"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E36056" w:rsidRPr="00AC48DD" w:rsidRDefault="00E36056"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E36056" w:rsidRDefault="00E36056"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E36056" w:rsidRPr="00996FEA" w:rsidRDefault="00E36056"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1"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3"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4"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4FDA1B89"/>
    <w:multiLevelType w:val="multilevel"/>
    <w:tmpl w:val="3B9E89E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2"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5"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7"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8"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651C23F6"/>
    <w:multiLevelType w:val="multilevel"/>
    <w:tmpl w:val="5F909A3A"/>
    <w:lvl w:ilvl="0">
      <w:start w:val="1"/>
      <w:numFmt w:val="decimal"/>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2"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5"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7"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0"/>
  </w:num>
  <w:num w:numId="3">
    <w:abstractNumId w:val="7"/>
  </w:num>
  <w:num w:numId="4">
    <w:abstractNumId w:val="40"/>
  </w:num>
  <w:num w:numId="5">
    <w:abstractNumId w:val="6"/>
  </w:num>
  <w:num w:numId="6">
    <w:abstractNumId w:val="47"/>
  </w:num>
  <w:num w:numId="7">
    <w:abstractNumId w:val="17"/>
  </w:num>
  <w:num w:numId="8">
    <w:abstractNumId w:val="29"/>
  </w:num>
  <w:num w:numId="9">
    <w:abstractNumId w:val="14"/>
  </w:num>
  <w:num w:numId="10">
    <w:abstractNumId w:val="20"/>
  </w:num>
  <w:num w:numId="11">
    <w:abstractNumId w:val="24"/>
  </w:num>
  <w:num w:numId="12">
    <w:abstractNumId w:val="19"/>
  </w:num>
  <w:num w:numId="13">
    <w:abstractNumId w:val="46"/>
  </w:num>
  <w:num w:numId="14">
    <w:abstractNumId w:val="11"/>
  </w:num>
  <w:num w:numId="15">
    <w:abstractNumId w:val="50"/>
  </w:num>
  <w:num w:numId="16">
    <w:abstractNumId w:val="32"/>
  </w:num>
  <w:num w:numId="17">
    <w:abstractNumId w:val="56"/>
  </w:num>
  <w:num w:numId="18">
    <w:abstractNumId w:val="0"/>
    <w:lvlOverride w:ilvl="0">
      <w:startOverride w:val="1"/>
    </w:lvlOverride>
  </w:num>
  <w:num w:numId="19">
    <w:abstractNumId w:val="34"/>
  </w:num>
  <w:num w:numId="20">
    <w:abstractNumId w:val="1"/>
  </w:num>
  <w:num w:numId="21">
    <w:abstractNumId w:val="58"/>
  </w:num>
  <w:num w:numId="22">
    <w:abstractNumId w:val="57"/>
  </w:num>
  <w:num w:numId="23">
    <w:abstractNumId w:val="35"/>
  </w:num>
  <w:num w:numId="24">
    <w:abstractNumId w:val="44"/>
  </w:num>
  <w:num w:numId="25">
    <w:abstractNumId w:val="16"/>
  </w:num>
  <w:num w:numId="26">
    <w:abstractNumId w:val="33"/>
  </w:num>
  <w:num w:numId="27">
    <w:abstractNumId w:val="55"/>
  </w:num>
  <w:num w:numId="28">
    <w:abstractNumId w:val="13"/>
  </w:num>
  <w:num w:numId="29">
    <w:abstractNumId w:val="10"/>
  </w:num>
  <w:num w:numId="30">
    <w:abstractNumId w:val="12"/>
  </w:num>
  <w:num w:numId="31">
    <w:abstractNumId w:val="2"/>
  </w:num>
  <w:num w:numId="32">
    <w:abstractNumId w:val="21"/>
  </w:num>
  <w:num w:numId="33">
    <w:abstractNumId w:val="22"/>
  </w:num>
  <w:num w:numId="34">
    <w:abstractNumId w:val="26"/>
  </w:num>
  <w:num w:numId="35">
    <w:abstractNumId w:val="45"/>
  </w:num>
  <w:num w:numId="36">
    <w:abstractNumId w:val="18"/>
  </w:num>
  <w:num w:numId="37">
    <w:abstractNumId w:val="38"/>
  </w:num>
  <w:num w:numId="38">
    <w:abstractNumId w:val="4"/>
  </w:num>
  <w:num w:numId="39">
    <w:abstractNumId w:val="54"/>
  </w:num>
  <w:num w:numId="40">
    <w:abstractNumId w:val="52"/>
  </w:num>
  <w:num w:numId="41">
    <w:abstractNumId w:val="48"/>
  </w:num>
  <w:num w:numId="42">
    <w:abstractNumId w:val="36"/>
  </w:num>
  <w:num w:numId="43">
    <w:abstractNumId w:val="9"/>
  </w:num>
  <w:num w:numId="44">
    <w:abstractNumId w:val="42"/>
  </w:num>
  <w:num w:numId="45">
    <w:abstractNumId w:val="10"/>
  </w:num>
  <w:num w:numId="46">
    <w:abstractNumId w:val="10"/>
  </w:num>
  <w:num w:numId="47">
    <w:abstractNumId w:val="43"/>
  </w:num>
  <w:num w:numId="48">
    <w:abstractNumId w:val="3"/>
  </w:num>
  <w:num w:numId="49">
    <w:abstractNumId w:val="31"/>
  </w:num>
  <w:num w:numId="50">
    <w:abstractNumId w:val="37"/>
  </w:num>
  <w:num w:numId="51">
    <w:abstractNumId w:val="15"/>
  </w:num>
  <w:num w:numId="52">
    <w:abstractNumId w:val="8"/>
  </w:num>
  <w:num w:numId="53">
    <w:abstractNumId w:val="27"/>
  </w:num>
  <w:num w:numId="54">
    <w:abstractNumId w:val="49"/>
  </w:num>
  <w:num w:numId="55">
    <w:abstractNumId w:val="23"/>
  </w:num>
  <w:num w:numId="56">
    <w:abstractNumId w:val="28"/>
  </w:num>
  <w:num w:numId="57">
    <w:abstractNumId w:val="30"/>
  </w:num>
  <w:num w:numId="58">
    <w:abstractNumId w:val="23"/>
  </w:num>
  <w:num w:numId="59">
    <w:abstractNumId w:val="25"/>
  </w:num>
  <w:num w:numId="60">
    <w:abstractNumId w:val="23"/>
  </w:num>
  <w:num w:numId="61">
    <w:abstractNumId w:val="39"/>
  </w:num>
  <w:num w:numId="62">
    <w:abstractNumId w:val="53"/>
  </w:num>
  <w:num w:numId="63">
    <w:abstractNumId w:val="5"/>
  </w:num>
  <w:num w:numId="64">
    <w:abstractNumId w:val="58"/>
  </w:num>
  <w:num w:numId="65">
    <w:abstractNumId w:val="58"/>
  </w:num>
  <w:num w:numId="66">
    <w:abstractNumId w:val="41"/>
  </w:num>
  <w:num w:numId="67">
    <w:abstractNumId w:val="51"/>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ttachedTemplate r:id="rId1"/>
  <w:trackRevisions/>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3445A"/>
    <w:rsid w:val="00037915"/>
    <w:rsid w:val="00043222"/>
    <w:rsid w:val="000455A6"/>
    <w:rsid w:val="000458C9"/>
    <w:rsid w:val="000461BD"/>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75D3"/>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D1A"/>
    <w:rsid w:val="00127A5B"/>
    <w:rsid w:val="001318F1"/>
    <w:rsid w:val="00131CF0"/>
    <w:rsid w:val="00136398"/>
    <w:rsid w:val="00141D15"/>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C7BE2"/>
    <w:rsid w:val="001D230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4369"/>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12FB"/>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4115E"/>
    <w:rsid w:val="00341850"/>
    <w:rsid w:val="00343978"/>
    <w:rsid w:val="00345172"/>
    <w:rsid w:val="003455DD"/>
    <w:rsid w:val="00345AEE"/>
    <w:rsid w:val="00347846"/>
    <w:rsid w:val="00347D93"/>
    <w:rsid w:val="003532E1"/>
    <w:rsid w:val="00355606"/>
    <w:rsid w:val="003566A8"/>
    <w:rsid w:val="00357B46"/>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603D"/>
    <w:rsid w:val="00397AA1"/>
    <w:rsid w:val="003A0706"/>
    <w:rsid w:val="003A13E0"/>
    <w:rsid w:val="003A4792"/>
    <w:rsid w:val="003A61A4"/>
    <w:rsid w:val="003B0DCB"/>
    <w:rsid w:val="003B3CF2"/>
    <w:rsid w:val="003B5A58"/>
    <w:rsid w:val="003B63E6"/>
    <w:rsid w:val="003C19D9"/>
    <w:rsid w:val="003C32BF"/>
    <w:rsid w:val="003C6672"/>
    <w:rsid w:val="003C7DC6"/>
    <w:rsid w:val="003D00B0"/>
    <w:rsid w:val="003D1919"/>
    <w:rsid w:val="003D1D40"/>
    <w:rsid w:val="003D6B1E"/>
    <w:rsid w:val="003D7CE1"/>
    <w:rsid w:val="003E0766"/>
    <w:rsid w:val="003E0CA3"/>
    <w:rsid w:val="003E5AA6"/>
    <w:rsid w:val="003E7602"/>
    <w:rsid w:val="003F06DE"/>
    <w:rsid w:val="003F36C1"/>
    <w:rsid w:val="0040302B"/>
    <w:rsid w:val="004073C5"/>
    <w:rsid w:val="0040763A"/>
    <w:rsid w:val="00413542"/>
    <w:rsid w:val="0041382E"/>
    <w:rsid w:val="00416A7A"/>
    <w:rsid w:val="00422F59"/>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8479B"/>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1E5"/>
    <w:rsid w:val="00580C7F"/>
    <w:rsid w:val="00582257"/>
    <w:rsid w:val="00583154"/>
    <w:rsid w:val="00584F07"/>
    <w:rsid w:val="005851B5"/>
    <w:rsid w:val="005936AE"/>
    <w:rsid w:val="005942E9"/>
    <w:rsid w:val="005A362A"/>
    <w:rsid w:val="005B2984"/>
    <w:rsid w:val="005B64FD"/>
    <w:rsid w:val="005B74D9"/>
    <w:rsid w:val="005C008F"/>
    <w:rsid w:val="005C1231"/>
    <w:rsid w:val="005C157F"/>
    <w:rsid w:val="005C220F"/>
    <w:rsid w:val="005C2FC9"/>
    <w:rsid w:val="005C7534"/>
    <w:rsid w:val="005D0DA0"/>
    <w:rsid w:val="005D176A"/>
    <w:rsid w:val="005D1EE3"/>
    <w:rsid w:val="005D2A80"/>
    <w:rsid w:val="005D7631"/>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F0E"/>
    <w:rsid w:val="006215E5"/>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4851"/>
    <w:rsid w:val="00694A01"/>
    <w:rsid w:val="00694D61"/>
    <w:rsid w:val="00694FB5"/>
    <w:rsid w:val="00695CFD"/>
    <w:rsid w:val="00695E19"/>
    <w:rsid w:val="006A10E4"/>
    <w:rsid w:val="006A21B3"/>
    <w:rsid w:val="006A6224"/>
    <w:rsid w:val="006B60B4"/>
    <w:rsid w:val="006B620A"/>
    <w:rsid w:val="006C52FD"/>
    <w:rsid w:val="006C5B6D"/>
    <w:rsid w:val="006D0BFE"/>
    <w:rsid w:val="006D3BE8"/>
    <w:rsid w:val="006E0586"/>
    <w:rsid w:val="006E2006"/>
    <w:rsid w:val="006E2037"/>
    <w:rsid w:val="006E2A49"/>
    <w:rsid w:val="006E576B"/>
    <w:rsid w:val="006E57FD"/>
    <w:rsid w:val="006F295F"/>
    <w:rsid w:val="006F6849"/>
    <w:rsid w:val="006F6F4E"/>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925B5"/>
    <w:rsid w:val="00794721"/>
    <w:rsid w:val="00796758"/>
    <w:rsid w:val="007979DB"/>
    <w:rsid w:val="007B112F"/>
    <w:rsid w:val="007B473C"/>
    <w:rsid w:val="007B538C"/>
    <w:rsid w:val="007C42D8"/>
    <w:rsid w:val="007C47E8"/>
    <w:rsid w:val="007D3A12"/>
    <w:rsid w:val="007E01AA"/>
    <w:rsid w:val="007E2198"/>
    <w:rsid w:val="007E32DD"/>
    <w:rsid w:val="007E36A7"/>
    <w:rsid w:val="007F1475"/>
    <w:rsid w:val="007F1667"/>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7474"/>
    <w:rsid w:val="00941368"/>
    <w:rsid w:val="009416AD"/>
    <w:rsid w:val="009433E7"/>
    <w:rsid w:val="00947488"/>
    <w:rsid w:val="00947916"/>
    <w:rsid w:val="00947C28"/>
    <w:rsid w:val="0095137D"/>
    <w:rsid w:val="009601F9"/>
    <w:rsid w:val="00964820"/>
    <w:rsid w:val="0097249F"/>
    <w:rsid w:val="00973B1D"/>
    <w:rsid w:val="00974028"/>
    <w:rsid w:val="009757EE"/>
    <w:rsid w:val="009766DB"/>
    <w:rsid w:val="00984461"/>
    <w:rsid w:val="009879A2"/>
    <w:rsid w:val="00990C19"/>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056F2"/>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5758"/>
    <w:rsid w:val="00A67C9E"/>
    <w:rsid w:val="00A70C1C"/>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086A"/>
    <w:rsid w:val="00AD16E9"/>
    <w:rsid w:val="00AD2AA5"/>
    <w:rsid w:val="00AD70DD"/>
    <w:rsid w:val="00AD779A"/>
    <w:rsid w:val="00AE0BFD"/>
    <w:rsid w:val="00AE0CBF"/>
    <w:rsid w:val="00AE2FA1"/>
    <w:rsid w:val="00AE3811"/>
    <w:rsid w:val="00AE3EA9"/>
    <w:rsid w:val="00AF0502"/>
    <w:rsid w:val="00AF228F"/>
    <w:rsid w:val="00AF33C4"/>
    <w:rsid w:val="00AF4135"/>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2A22"/>
    <w:rsid w:val="00BC4CC2"/>
    <w:rsid w:val="00BC5038"/>
    <w:rsid w:val="00BC5A69"/>
    <w:rsid w:val="00BD3F91"/>
    <w:rsid w:val="00BE055A"/>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54C1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10387"/>
    <w:rsid w:val="00D1129B"/>
    <w:rsid w:val="00D11F49"/>
    <w:rsid w:val="00D127A4"/>
    <w:rsid w:val="00D143FE"/>
    <w:rsid w:val="00D23E07"/>
    <w:rsid w:val="00D25794"/>
    <w:rsid w:val="00D26361"/>
    <w:rsid w:val="00D307D0"/>
    <w:rsid w:val="00D3292F"/>
    <w:rsid w:val="00D51BB9"/>
    <w:rsid w:val="00D52392"/>
    <w:rsid w:val="00D569AF"/>
    <w:rsid w:val="00D57337"/>
    <w:rsid w:val="00D639EA"/>
    <w:rsid w:val="00D66452"/>
    <w:rsid w:val="00D67295"/>
    <w:rsid w:val="00D80144"/>
    <w:rsid w:val="00D81264"/>
    <w:rsid w:val="00D82395"/>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00E"/>
    <w:rsid w:val="00DB7D43"/>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3A3"/>
    <w:rsid w:val="00E34F93"/>
    <w:rsid w:val="00E36056"/>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80742"/>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D3029"/>
    <w:rsid w:val="00ED37FE"/>
    <w:rsid w:val="00ED6301"/>
    <w:rsid w:val="00EE1C0C"/>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2FB0"/>
    <w:rsid w:val="00F53E95"/>
    <w:rsid w:val="00F54BCF"/>
    <w:rsid w:val="00F555D8"/>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00E"/>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3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expertisefrance.fr/documents/20182/426622/Expertise+France+&#8211;+Code+de+conduite/2408659b-a84e-45ac-a142-47d5dc21faff"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www.un.org/securitycouncil/content/un-sc-consolidated-list"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hyperlink" Target="https://www.worldbank.org/en/projects-operations/procurement/debarred-firms" TargetMode="Externa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0" Type="http://schemas.openxmlformats.org/officeDocument/2006/relationships/hyperlink" Target="https://www.sanctionsmap.eu"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home.treasury.gov/policy-issues/financial-sanctions/sanctions-programs-and-country-information" TargetMode="External"/><Relationship Id="rId37"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gels-avoirs.dgtresor.gouv.fr/List" TargetMode="External"/><Relationship Id="rId28" Type="http://schemas.openxmlformats.org/officeDocument/2006/relationships/footer" Target="footer4.xml"/><Relationship Id="rId10" Type="http://schemas.openxmlformats.org/officeDocument/2006/relationships/header" Target="header1.xml"/><Relationship Id="rId19" Type="http://schemas.openxmlformats.org/officeDocument/2006/relationships/hyperlink" Target="http://www.expertisefrance.f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sanctionsmap.eu" TargetMode="External"/><Relationship Id="rId27" Type="http://schemas.openxmlformats.org/officeDocument/2006/relationships/header" Target="header5.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fr/ressources/politique-generale-du-groupe-afd-en-matiere-de-prevention-et-de-lutte-contre-les-pratiques-prohibees-202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2B327E-93AD-48D1-B21C-C662686E9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121</TotalTime>
  <Pages>20</Pages>
  <Words>6690</Words>
  <Characters>36798</Characters>
  <Application>Microsoft Office Word</Application>
  <DocSecurity>0</DocSecurity>
  <Lines>306</Lines>
  <Paragraphs>86</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43402</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admin</cp:lastModifiedBy>
  <cp:revision>6</cp:revision>
  <cp:lastPrinted>2014-11-19T14:39:00Z</cp:lastPrinted>
  <dcterms:created xsi:type="dcterms:W3CDTF">2025-12-15T12:57:00Z</dcterms:created>
  <dcterms:modified xsi:type="dcterms:W3CDTF">2025-12-18T08:20:00Z</dcterms:modified>
</cp:coreProperties>
</file>